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760A2A"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760A2A" w:rsidRDefault="00547C44" w:rsidP="00F4355F">
            <w:pPr>
              <w:ind w:left="-108"/>
              <w:rPr>
                <w:rFonts w:ascii="Arial" w:hAnsi="Arial" w:cs="Arial"/>
                <w:color w:val="4F81BD" w:themeColor="accent1"/>
                <w:lang w:val="es-MX"/>
              </w:rPr>
            </w:pPr>
            <w:r w:rsidRPr="00760A2A">
              <w:rPr>
                <w:rFonts w:ascii="Arial" w:hAnsi="Arial" w:cs="Arial"/>
                <w:b/>
                <w:color w:val="4F81BD" w:themeColor="accent1"/>
                <w:lang w:val="es-MX"/>
              </w:rPr>
              <w:t xml:space="preserve">RECURSO DE REVISIÓN: </w:t>
            </w:r>
            <w:r w:rsidR="00DC51FF" w:rsidRPr="00760A2A">
              <w:rPr>
                <w:rFonts w:ascii="Arial" w:hAnsi="Arial" w:cs="Arial"/>
                <w:color w:val="4F81BD" w:themeColor="accent1"/>
                <w:lang w:val="es-MX"/>
              </w:rPr>
              <w:t>RR-</w:t>
            </w:r>
            <w:r w:rsidR="00017ECB" w:rsidRPr="00760A2A">
              <w:rPr>
                <w:rFonts w:ascii="Arial" w:hAnsi="Arial" w:cs="Arial"/>
                <w:color w:val="4F81BD" w:themeColor="accent1"/>
                <w:lang w:val="es-MX"/>
              </w:rPr>
              <w:t>570</w:t>
            </w:r>
            <w:r w:rsidR="00990C27" w:rsidRPr="00760A2A">
              <w:rPr>
                <w:rFonts w:ascii="Arial" w:hAnsi="Arial" w:cs="Arial"/>
                <w:color w:val="4F81BD" w:themeColor="accent1"/>
                <w:lang w:val="es-MX"/>
              </w:rPr>
              <w:t>/2017</w:t>
            </w:r>
            <w:r w:rsidRPr="00760A2A">
              <w:rPr>
                <w:rFonts w:ascii="Arial" w:hAnsi="Arial" w:cs="Arial"/>
                <w:color w:val="4F81BD" w:themeColor="accent1"/>
                <w:lang w:val="es-MX"/>
              </w:rPr>
              <w:t>-3</w:t>
            </w:r>
          </w:p>
        </w:tc>
      </w:tr>
      <w:tr w:rsidR="00547C44" w:rsidRPr="00760A2A"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760A2A" w:rsidRDefault="00547C44" w:rsidP="00017ECB">
            <w:pPr>
              <w:ind w:left="-108"/>
              <w:rPr>
                <w:rFonts w:ascii="Arial" w:hAnsi="Arial" w:cs="Arial"/>
                <w:color w:val="4F81BD" w:themeColor="accent1"/>
                <w:lang w:val="es-MX"/>
              </w:rPr>
            </w:pPr>
            <w:r w:rsidRPr="00760A2A">
              <w:rPr>
                <w:rFonts w:ascii="Arial" w:hAnsi="Arial" w:cs="Arial"/>
                <w:b/>
                <w:color w:val="4F81BD" w:themeColor="accent1"/>
                <w:lang w:val="es-MX"/>
              </w:rPr>
              <w:t>ENTE OBLIGADO:</w:t>
            </w:r>
            <w:r w:rsidRPr="00760A2A">
              <w:rPr>
                <w:rFonts w:ascii="Arial" w:hAnsi="Arial" w:cs="Arial"/>
                <w:color w:val="4F81BD" w:themeColor="accent1"/>
                <w:lang w:val="es-MX"/>
              </w:rPr>
              <w:t xml:space="preserve"> </w:t>
            </w:r>
            <w:r w:rsidR="00017ECB" w:rsidRPr="00760A2A">
              <w:rPr>
                <w:rFonts w:ascii="Arial" w:hAnsi="Arial" w:cs="Arial"/>
                <w:color w:val="4F81BD" w:themeColor="accent1"/>
                <w:lang w:val="es-MX"/>
              </w:rPr>
              <w:t>INSTITUTO TECNOLÓGICO DE MATEHUALA.</w:t>
            </w:r>
          </w:p>
        </w:tc>
      </w:tr>
      <w:tr w:rsidR="00547C44" w:rsidRPr="00760A2A"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760A2A" w:rsidRDefault="00547C44" w:rsidP="00C63190">
            <w:pPr>
              <w:ind w:left="-108"/>
              <w:rPr>
                <w:rFonts w:ascii="Arial" w:hAnsi="Arial" w:cs="Arial"/>
                <w:color w:val="4F81BD" w:themeColor="accent1"/>
                <w:lang w:val="es-MX"/>
              </w:rPr>
            </w:pPr>
            <w:r w:rsidRPr="00760A2A">
              <w:rPr>
                <w:rFonts w:ascii="Arial" w:hAnsi="Arial" w:cs="Arial"/>
                <w:b/>
                <w:color w:val="4F81BD" w:themeColor="accent1"/>
                <w:lang w:val="es-MX"/>
              </w:rPr>
              <w:t xml:space="preserve">COMISIONADO PONENTE: </w:t>
            </w:r>
            <w:r w:rsidRPr="00760A2A">
              <w:rPr>
                <w:rFonts w:ascii="Arial" w:hAnsi="Arial" w:cs="Arial"/>
                <w:color w:val="4F81BD" w:themeColor="accent1"/>
                <w:lang w:val="es-MX"/>
              </w:rPr>
              <w:t>CLAUDIA ELIZABETH ÁVALOS CEDILLO</w:t>
            </w:r>
          </w:p>
        </w:tc>
      </w:tr>
    </w:tbl>
    <w:p w:rsidR="00547C44" w:rsidRPr="00760A2A" w:rsidRDefault="00547C44" w:rsidP="00547C44">
      <w:pPr>
        <w:jc w:val="right"/>
        <w:rPr>
          <w:rFonts w:ascii="Arial" w:hAnsi="Arial" w:cs="Arial"/>
          <w:b/>
          <w:color w:val="4F81BD" w:themeColor="accent1"/>
          <w:lang w:val="es-MX"/>
        </w:rPr>
      </w:pPr>
    </w:p>
    <w:p w:rsidR="00990C27" w:rsidRPr="00760A2A" w:rsidRDefault="00547C44" w:rsidP="00990C27">
      <w:pPr>
        <w:pStyle w:val="Textoindependienteprimerasangra"/>
        <w:spacing w:after="0"/>
        <w:ind w:firstLine="0"/>
        <w:rPr>
          <w:rFonts w:ascii="Arial" w:eastAsia="Arial Unicode MS" w:hAnsi="Arial" w:cs="Arial"/>
          <w:color w:val="4F81BD" w:themeColor="accent1"/>
          <w:szCs w:val="26"/>
          <w:lang w:val="es-MX"/>
        </w:rPr>
      </w:pPr>
      <w:r w:rsidRPr="00760A2A">
        <w:rPr>
          <w:rFonts w:ascii="Arial" w:hAnsi="Arial" w:cs="Arial"/>
          <w:b/>
          <w:color w:val="4F81BD" w:themeColor="accent1"/>
          <w:lang w:val="es-MX"/>
        </w:rPr>
        <w:tab/>
      </w:r>
      <w:r w:rsidRPr="00760A2A">
        <w:rPr>
          <w:rFonts w:ascii="Arial" w:eastAsia="Arial Unicode MS" w:hAnsi="Arial" w:cs="Arial"/>
          <w:color w:val="4F81BD" w:themeColor="accent1"/>
          <w:szCs w:val="26"/>
          <w:lang w:val="es-MX"/>
        </w:rPr>
        <w:t xml:space="preserve">San Luis Potosí, San Luis Potosí, </w:t>
      </w:r>
      <w:r w:rsidR="00B704C3">
        <w:rPr>
          <w:rFonts w:ascii="Arial" w:eastAsia="Arial Unicode MS" w:hAnsi="Arial" w:cs="Arial"/>
          <w:color w:val="4F81BD" w:themeColor="accent1"/>
          <w:szCs w:val="26"/>
          <w:lang w:val="es-MX"/>
        </w:rPr>
        <w:t>veintiuno</w:t>
      </w:r>
      <w:r w:rsidR="00017ECB" w:rsidRPr="00760A2A">
        <w:rPr>
          <w:rFonts w:ascii="Arial" w:eastAsia="Arial Unicode MS" w:hAnsi="Arial" w:cs="Arial"/>
          <w:color w:val="4F81BD" w:themeColor="accent1"/>
          <w:szCs w:val="26"/>
          <w:lang w:val="es-MX"/>
        </w:rPr>
        <w:t xml:space="preserve"> de noviembre</w:t>
      </w:r>
      <w:r w:rsidR="00F4355F" w:rsidRPr="00760A2A">
        <w:rPr>
          <w:rFonts w:ascii="Arial" w:eastAsia="Arial Unicode MS" w:hAnsi="Arial" w:cs="Arial"/>
          <w:color w:val="4F81BD" w:themeColor="accent1"/>
          <w:szCs w:val="26"/>
          <w:lang w:val="es-MX"/>
        </w:rPr>
        <w:t xml:space="preserve"> de </w:t>
      </w:r>
      <w:r w:rsidR="001271CF" w:rsidRPr="00760A2A">
        <w:rPr>
          <w:rFonts w:ascii="Arial" w:eastAsia="Arial Unicode MS" w:hAnsi="Arial" w:cs="Arial"/>
          <w:color w:val="4F81BD" w:themeColor="accent1"/>
          <w:szCs w:val="26"/>
          <w:lang w:val="es-MX"/>
        </w:rPr>
        <w:t>dos mil diecisiete</w:t>
      </w:r>
      <w:r w:rsidRPr="00760A2A">
        <w:rPr>
          <w:rFonts w:ascii="Arial" w:eastAsia="Arial Unicode MS" w:hAnsi="Arial" w:cs="Arial"/>
          <w:color w:val="4F81BD" w:themeColor="accent1"/>
          <w:szCs w:val="26"/>
          <w:lang w:val="es-MX"/>
        </w:rPr>
        <w:t>.</w:t>
      </w:r>
    </w:p>
    <w:p w:rsidR="00547C44" w:rsidRPr="00760A2A" w:rsidRDefault="00990C27" w:rsidP="00990C27">
      <w:pPr>
        <w:pStyle w:val="Textoindependienteprimerasangra"/>
        <w:spacing w:before="240" w:after="0"/>
        <w:ind w:firstLine="0"/>
        <w:rPr>
          <w:rFonts w:ascii="Arial" w:eastAsia="Arial Unicode MS" w:hAnsi="Arial" w:cs="Arial"/>
          <w:color w:val="4F81BD" w:themeColor="accent1"/>
          <w:szCs w:val="26"/>
          <w:lang w:val="es-MX"/>
        </w:rPr>
      </w:pPr>
      <w:r w:rsidRPr="00760A2A">
        <w:rPr>
          <w:rFonts w:ascii="Arial" w:eastAsia="Arial Unicode MS" w:hAnsi="Arial" w:cs="Arial"/>
          <w:color w:val="4F81BD" w:themeColor="accent1"/>
          <w:szCs w:val="26"/>
          <w:lang w:val="es-MX"/>
        </w:rPr>
        <w:tab/>
      </w:r>
      <w:r w:rsidR="00BB5A3B" w:rsidRPr="00760A2A">
        <w:rPr>
          <w:rFonts w:ascii="Arial" w:eastAsia="Arial Unicode MS" w:hAnsi="Arial" w:cs="Arial"/>
          <w:b/>
          <w:color w:val="4F81BD" w:themeColor="accent1"/>
          <w:szCs w:val="26"/>
          <w:lang w:val="es-MX"/>
        </w:rPr>
        <w:t>VIST</w:t>
      </w:r>
      <w:r w:rsidR="00547C44" w:rsidRPr="00760A2A">
        <w:rPr>
          <w:rFonts w:ascii="Arial" w:eastAsia="Arial Unicode MS" w:hAnsi="Arial" w:cs="Arial"/>
          <w:b/>
          <w:color w:val="4F81BD" w:themeColor="accent1"/>
          <w:szCs w:val="26"/>
          <w:lang w:val="es-MX"/>
        </w:rPr>
        <w:t>O</w:t>
      </w:r>
      <w:r w:rsidR="00BB5A3B" w:rsidRPr="00760A2A">
        <w:rPr>
          <w:rFonts w:ascii="Arial" w:eastAsia="Arial Unicode MS" w:hAnsi="Arial" w:cs="Arial"/>
          <w:b/>
          <w:color w:val="4F81BD" w:themeColor="accent1"/>
          <w:szCs w:val="26"/>
          <w:lang w:val="es-MX"/>
        </w:rPr>
        <w:t>S</w:t>
      </w:r>
      <w:r w:rsidR="00547C44" w:rsidRPr="00760A2A">
        <w:rPr>
          <w:rFonts w:ascii="Arial" w:eastAsia="Arial Unicode MS" w:hAnsi="Arial" w:cs="Arial"/>
          <w:color w:val="4F81BD" w:themeColor="accent1"/>
          <w:szCs w:val="26"/>
          <w:lang w:val="es-MX"/>
        </w:rPr>
        <w:t xml:space="preserve"> para resolver los autos que conforman el expediente </w:t>
      </w:r>
      <w:r w:rsidR="00017ECB" w:rsidRPr="00760A2A">
        <w:rPr>
          <w:rFonts w:ascii="Arial" w:eastAsia="Arial Unicode MS" w:hAnsi="Arial" w:cs="Arial"/>
          <w:b/>
          <w:color w:val="4F81BD" w:themeColor="accent1"/>
          <w:szCs w:val="26"/>
          <w:lang w:val="es-MX"/>
        </w:rPr>
        <w:t>570</w:t>
      </w:r>
      <w:r w:rsidR="00547C44" w:rsidRPr="00760A2A">
        <w:rPr>
          <w:rFonts w:ascii="Arial" w:hAnsi="Arial" w:cs="Arial"/>
          <w:b/>
          <w:color w:val="4F81BD" w:themeColor="accent1"/>
          <w:lang w:val="es-MX"/>
        </w:rPr>
        <w:t>/201</w:t>
      </w:r>
      <w:r w:rsidRPr="00760A2A">
        <w:rPr>
          <w:rFonts w:ascii="Arial" w:hAnsi="Arial" w:cs="Arial"/>
          <w:b/>
          <w:color w:val="4F81BD" w:themeColor="accent1"/>
          <w:lang w:val="es-MX"/>
        </w:rPr>
        <w:t>7</w:t>
      </w:r>
      <w:r w:rsidR="00547C44" w:rsidRPr="00760A2A">
        <w:rPr>
          <w:rFonts w:ascii="Arial" w:hAnsi="Arial" w:cs="Arial"/>
          <w:b/>
          <w:color w:val="4F81BD" w:themeColor="accent1"/>
          <w:lang w:val="es-MX"/>
        </w:rPr>
        <w:t xml:space="preserve">-3 </w:t>
      </w:r>
      <w:r w:rsidR="00547C44" w:rsidRPr="00760A2A">
        <w:rPr>
          <w:rFonts w:ascii="Arial" w:eastAsia="Arial Unicode MS" w:hAnsi="Arial" w:cs="Arial"/>
          <w:color w:val="4F81BD" w:themeColor="accent1"/>
          <w:szCs w:val="26"/>
          <w:lang w:val="es-MX"/>
        </w:rPr>
        <w:t xml:space="preserve">del índice de esta comisión, relativo al </w:t>
      </w:r>
      <w:r w:rsidR="00547C44" w:rsidRPr="00760A2A">
        <w:rPr>
          <w:rFonts w:ascii="Arial" w:eastAsia="Arial Unicode MS" w:hAnsi="Arial" w:cs="Arial"/>
          <w:b/>
          <w:color w:val="4F81BD" w:themeColor="accent1"/>
          <w:szCs w:val="26"/>
          <w:lang w:val="es-MX"/>
        </w:rPr>
        <w:t>recurso de revisión</w:t>
      </w:r>
      <w:r w:rsidR="00547C44" w:rsidRPr="00760A2A">
        <w:rPr>
          <w:rFonts w:ascii="Arial" w:eastAsia="Arial Unicode MS" w:hAnsi="Arial" w:cs="Arial"/>
          <w:color w:val="4F81BD" w:themeColor="accent1"/>
          <w:szCs w:val="26"/>
          <w:lang w:val="es-MX"/>
        </w:rPr>
        <w:t xml:space="preserve">, interpuesto contra la respuesta emitida por el </w:t>
      </w:r>
      <w:r w:rsidR="00DC51FF" w:rsidRPr="00760A2A">
        <w:rPr>
          <w:rFonts w:ascii="Arial" w:eastAsia="Arial Unicode MS" w:hAnsi="Arial" w:cs="Arial"/>
          <w:b/>
          <w:color w:val="4F81BD" w:themeColor="accent1"/>
          <w:szCs w:val="26"/>
          <w:lang w:val="es-MX"/>
        </w:rPr>
        <w:t xml:space="preserve">INSTITUTO </w:t>
      </w:r>
      <w:r w:rsidR="00017ECB" w:rsidRPr="00760A2A">
        <w:rPr>
          <w:rFonts w:ascii="Arial" w:eastAsia="Arial Unicode MS" w:hAnsi="Arial" w:cs="Arial"/>
          <w:b/>
          <w:color w:val="4F81BD" w:themeColor="accent1"/>
          <w:szCs w:val="26"/>
          <w:lang w:val="es-MX"/>
        </w:rPr>
        <w:t>TECNOLÓGICO DE MATEHUALA</w:t>
      </w:r>
      <w:r w:rsidR="00547C44" w:rsidRPr="00760A2A">
        <w:rPr>
          <w:rFonts w:ascii="Arial" w:eastAsia="Arial Unicode MS" w:hAnsi="Arial" w:cs="Arial"/>
          <w:b/>
          <w:color w:val="4F81BD" w:themeColor="accent1"/>
          <w:szCs w:val="26"/>
          <w:lang w:val="es-MX"/>
        </w:rPr>
        <w:t xml:space="preserve">, </w:t>
      </w:r>
      <w:r w:rsidR="00547C44" w:rsidRPr="00760A2A">
        <w:rPr>
          <w:rFonts w:ascii="Arial" w:eastAsia="Arial Unicode MS" w:hAnsi="Arial" w:cs="Arial"/>
          <w:color w:val="4F81BD" w:themeColor="accent1"/>
          <w:szCs w:val="26"/>
          <w:lang w:val="es-MX"/>
        </w:rPr>
        <w:t>y</w:t>
      </w:r>
    </w:p>
    <w:p w:rsidR="00990C27" w:rsidRPr="00760A2A" w:rsidRDefault="00547C44" w:rsidP="00990C27">
      <w:pPr>
        <w:pStyle w:val="Textoindependienteprimerasangra"/>
        <w:spacing w:before="240"/>
        <w:ind w:firstLine="900"/>
        <w:jc w:val="center"/>
        <w:rPr>
          <w:rFonts w:ascii="Arial" w:eastAsia="Arial Unicode MS" w:hAnsi="Arial" w:cs="Arial"/>
          <w:b/>
          <w:color w:val="4F81BD" w:themeColor="accent1"/>
          <w:szCs w:val="26"/>
          <w:lang w:val="es-MX"/>
        </w:rPr>
      </w:pPr>
      <w:r w:rsidRPr="00760A2A">
        <w:rPr>
          <w:rFonts w:ascii="Arial" w:eastAsia="Arial Unicode MS" w:hAnsi="Arial" w:cs="Arial"/>
          <w:b/>
          <w:color w:val="4F81BD" w:themeColor="accent1"/>
          <w:szCs w:val="26"/>
          <w:lang w:val="es-MX"/>
        </w:rPr>
        <w:t>A N T E C E D E N T E S:</w:t>
      </w:r>
    </w:p>
    <w:p w:rsidR="00547C44" w:rsidRPr="00760A2A" w:rsidRDefault="00990C27" w:rsidP="00990C27">
      <w:pPr>
        <w:pStyle w:val="Textoindependienteprimerasangra"/>
        <w:spacing w:before="240"/>
        <w:ind w:firstLine="0"/>
        <w:rPr>
          <w:rFonts w:ascii="Arial" w:eastAsia="Arial Unicode MS" w:hAnsi="Arial" w:cs="Arial"/>
          <w:b/>
          <w:color w:val="4F81BD" w:themeColor="accent1"/>
          <w:szCs w:val="26"/>
          <w:lang w:val="es-MX"/>
        </w:rPr>
      </w:pPr>
      <w:r w:rsidRPr="00760A2A">
        <w:rPr>
          <w:rFonts w:ascii="Arial" w:eastAsia="Arial Unicode MS" w:hAnsi="Arial" w:cs="Arial"/>
          <w:b/>
          <w:color w:val="4F81BD" w:themeColor="accent1"/>
          <w:szCs w:val="26"/>
          <w:lang w:val="es-MX"/>
        </w:rPr>
        <w:tab/>
      </w:r>
      <w:r w:rsidR="00547C44" w:rsidRPr="00760A2A">
        <w:rPr>
          <w:rFonts w:ascii="Arial" w:eastAsia="Arial Unicode MS" w:hAnsi="Arial" w:cs="Arial"/>
          <w:b/>
          <w:color w:val="4F81BD" w:themeColor="accent1"/>
          <w:szCs w:val="26"/>
          <w:lang w:val="es-MX"/>
        </w:rPr>
        <w:t xml:space="preserve">PRIMERO. Solicitud de Información. </w:t>
      </w:r>
      <w:r w:rsidR="00547C44" w:rsidRPr="00760A2A">
        <w:rPr>
          <w:rFonts w:ascii="Arial" w:eastAsia="Arial Unicode MS" w:hAnsi="Arial" w:cs="Arial"/>
          <w:color w:val="4F81BD" w:themeColor="accent1"/>
          <w:szCs w:val="26"/>
          <w:lang w:val="es-MX"/>
        </w:rPr>
        <w:t xml:space="preserve">El </w:t>
      </w:r>
      <w:r w:rsidR="00C36E5B" w:rsidRPr="00760A2A">
        <w:rPr>
          <w:rFonts w:ascii="Arial" w:eastAsia="Arial Unicode MS" w:hAnsi="Arial" w:cs="Arial"/>
          <w:color w:val="4F81BD" w:themeColor="accent1"/>
          <w:szCs w:val="26"/>
          <w:lang w:val="es-MX"/>
        </w:rPr>
        <w:t>veintinueve de junio</w:t>
      </w:r>
      <w:r w:rsidR="00AD4E8E" w:rsidRPr="00760A2A">
        <w:rPr>
          <w:rFonts w:ascii="Arial" w:eastAsia="Arial Unicode MS" w:hAnsi="Arial" w:cs="Arial"/>
          <w:color w:val="4F81BD" w:themeColor="accent1"/>
          <w:szCs w:val="26"/>
          <w:lang w:val="es-MX"/>
        </w:rPr>
        <w:t xml:space="preserve"> de </w:t>
      </w:r>
      <w:r w:rsidR="00547C44" w:rsidRPr="00760A2A">
        <w:rPr>
          <w:rFonts w:ascii="Arial" w:eastAsia="Arial Unicode MS" w:hAnsi="Arial" w:cs="Arial"/>
          <w:color w:val="4F81BD" w:themeColor="accent1"/>
          <w:szCs w:val="26"/>
          <w:lang w:val="es-MX"/>
        </w:rPr>
        <w:t xml:space="preserve">dos mil </w:t>
      </w:r>
      <w:r w:rsidRPr="00760A2A">
        <w:rPr>
          <w:rFonts w:ascii="Arial" w:eastAsia="Arial Unicode MS" w:hAnsi="Arial" w:cs="Arial"/>
          <w:color w:val="4F81BD" w:themeColor="accent1"/>
          <w:szCs w:val="26"/>
          <w:lang w:val="es-MX"/>
        </w:rPr>
        <w:t>diecisiete</w:t>
      </w:r>
      <w:r w:rsidR="00547C44" w:rsidRPr="00760A2A">
        <w:rPr>
          <w:rFonts w:ascii="Arial" w:eastAsia="Arial Unicode MS" w:hAnsi="Arial" w:cs="Arial"/>
          <w:color w:val="4F81BD" w:themeColor="accent1"/>
          <w:szCs w:val="26"/>
          <w:lang w:val="es-MX"/>
        </w:rPr>
        <w:t xml:space="preserve">, </w:t>
      </w:r>
      <w:r w:rsidR="0065301A" w:rsidRPr="00760A2A">
        <w:rPr>
          <w:rFonts w:ascii="Arial" w:hAnsi="Arial" w:cs="Arial"/>
          <w:color w:val="4F81BD" w:themeColor="accent1"/>
          <w:lang w:val="es-MX"/>
        </w:rPr>
        <w:t>se</w:t>
      </w:r>
      <w:r w:rsidR="00746974" w:rsidRPr="00760A2A">
        <w:rPr>
          <w:rFonts w:ascii="Arial" w:eastAsia="Arial Unicode MS" w:hAnsi="Arial" w:cs="Arial"/>
          <w:color w:val="4F81BD" w:themeColor="accent1"/>
          <w:szCs w:val="26"/>
          <w:lang w:val="es-MX"/>
        </w:rPr>
        <w:t xml:space="preserve"> </w:t>
      </w:r>
      <w:r w:rsidR="0065301A" w:rsidRPr="00760A2A">
        <w:rPr>
          <w:rFonts w:ascii="Arial" w:eastAsia="Arial Unicode MS" w:hAnsi="Arial" w:cs="Arial"/>
          <w:color w:val="4F81BD" w:themeColor="accent1"/>
          <w:szCs w:val="26"/>
          <w:lang w:val="es-MX"/>
        </w:rPr>
        <w:t>presentó</w:t>
      </w:r>
      <w:r w:rsidR="00C36E5B" w:rsidRPr="00760A2A">
        <w:rPr>
          <w:rFonts w:ascii="Arial" w:eastAsia="Arial Unicode MS" w:hAnsi="Arial" w:cs="Arial"/>
          <w:color w:val="4F81BD" w:themeColor="accent1"/>
          <w:szCs w:val="26"/>
          <w:lang w:val="es-MX"/>
        </w:rPr>
        <w:t xml:space="preserve"> una solicitud de información manual ante el </w:t>
      </w:r>
      <w:r w:rsidR="00DC51FF" w:rsidRPr="00760A2A">
        <w:rPr>
          <w:rFonts w:ascii="Arial" w:eastAsia="Arial Unicode MS" w:hAnsi="Arial" w:cs="Arial"/>
          <w:b/>
          <w:color w:val="4F81BD" w:themeColor="accent1"/>
          <w:szCs w:val="26"/>
          <w:lang w:val="es-MX"/>
        </w:rPr>
        <w:t xml:space="preserve">INSTITUTO </w:t>
      </w:r>
      <w:r w:rsidR="00C36E5B" w:rsidRPr="00760A2A">
        <w:rPr>
          <w:rFonts w:ascii="Arial" w:eastAsia="Arial Unicode MS" w:hAnsi="Arial" w:cs="Arial"/>
          <w:b/>
          <w:color w:val="4F81BD" w:themeColor="accent1"/>
          <w:szCs w:val="26"/>
          <w:lang w:val="es-MX"/>
        </w:rPr>
        <w:t>TECNOLÓGICO DE MATEHUALA</w:t>
      </w:r>
      <w:r w:rsidR="00746974" w:rsidRPr="00760A2A">
        <w:rPr>
          <w:rFonts w:ascii="Arial" w:eastAsia="Arial Unicode MS" w:hAnsi="Arial" w:cs="Arial"/>
          <w:b/>
          <w:color w:val="4F81BD" w:themeColor="accent1"/>
          <w:szCs w:val="26"/>
          <w:lang w:val="es-MX"/>
        </w:rPr>
        <w:t>,</w:t>
      </w:r>
      <w:r w:rsidR="00547C44" w:rsidRPr="00760A2A">
        <w:rPr>
          <w:rFonts w:ascii="Arial" w:eastAsia="Arial Unicode MS" w:hAnsi="Arial" w:cs="Arial"/>
          <w:b/>
          <w:color w:val="4F81BD" w:themeColor="accent1"/>
          <w:szCs w:val="26"/>
          <w:lang w:val="es-MX"/>
        </w:rPr>
        <w:t xml:space="preserve"> </w:t>
      </w:r>
      <w:r w:rsidR="00547C44" w:rsidRPr="00760A2A">
        <w:rPr>
          <w:rFonts w:ascii="Arial" w:eastAsia="Arial Unicode MS" w:hAnsi="Arial" w:cs="Arial"/>
          <w:color w:val="4F81BD" w:themeColor="accent1"/>
          <w:szCs w:val="26"/>
          <w:lang w:val="es-MX"/>
        </w:rPr>
        <w:t>y consistió la petición de</w:t>
      </w:r>
      <w:r w:rsidR="00C36E5B" w:rsidRPr="00760A2A">
        <w:rPr>
          <w:rFonts w:ascii="Arial" w:eastAsia="Arial Unicode MS" w:hAnsi="Arial" w:cs="Arial"/>
          <w:color w:val="4F81BD" w:themeColor="accent1"/>
          <w:szCs w:val="26"/>
          <w:lang w:val="es-MX"/>
        </w:rPr>
        <w:t xml:space="preserve"> </w:t>
      </w:r>
      <w:r w:rsidR="00547C44" w:rsidRPr="00760A2A">
        <w:rPr>
          <w:rFonts w:ascii="Arial" w:eastAsia="Arial Unicode MS" w:hAnsi="Arial" w:cs="Arial"/>
          <w:color w:val="4F81BD" w:themeColor="accent1"/>
          <w:szCs w:val="26"/>
          <w:lang w:val="es-MX"/>
        </w:rPr>
        <w:t>l</w:t>
      </w:r>
      <w:r w:rsidR="00C36E5B" w:rsidRPr="00760A2A">
        <w:rPr>
          <w:rFonts w:ascii="Arial" w:eastAsia="Arial Unicode MS" w:hAnsi="Arial" w:cs="Arial"/>
          <w:color w:val="4F81BD" w:themeColor="accent1"/>
          <w:szCs w:val="26"/>
          <w:lang w:val="es-MX"/>
        </w:rPr>
        <w:t>a</w:t>
      </w:r>
      <w:r w:rsidR="00547C44" w:rsidRPr="00760A2A">
        <w:rPr>
          <w:rFonts w:ascii="Arial" w:eastAsia="Arial Unicode MS" w:hAnsi="Arial" w:cs="Arial"/>
          <w:color w:val="4F81BD" w:themeColor="accent1"/>
          <w:szCs w:val="26"/>
          <w:lang w:val="es-MX"/>
        </w:rPr>
        <w:t xml:space="preserve"> solicitante en lo siguiente:</w:t>
      </w:r>
      <w:r w:rsidR="00C36E5B" w:rsidRPr="00760A2A">
        <w:rPr>
          <w:rFonts w:ascii="Arial" w:eastAsia="Arial Unicode MS" w:hAnsi="Arial" w:cs="Arial"/>
          <w:color w:val="4F81BD" w:themeColor="accent1"/>
          <w:szCs w:val="26"/>
          <w:lang w:val="es-MX"/>
        </w:rPr>
        <w:t xml:space="preserve"> (Foja 05)</w:t>
      </w:r>
      <w:r w:rsidR="00547C44" w:rsidRPr="00760A2A">
        <w:rPr>
          <w:rFonts w:ascii="Arial" w:eastAsia="Arial Unicode MS" w:hAnsi="Arial" w:cs="Arial"/>
          <w:b/>
          <w:color w:val="4F81BD" w:themeColor="accent1"/>
          <w:szCs w:val="26"/>
          <w:lang w:val="es-MX"/>
        </w:rPr>
        <w:t xml:space="preserve"> </w:t>
      </w:r>
    </w:p>
    <w:p w:rsidR="00C36E5B" w:rsidRPr="00760A2A" w:rsidRDefault="00C36E5B" w:rsidP="00C36E5B">
      <w:pPr>
        <w:pStyle w:val="Textoindependienteprimerasangra"/>
        <w:numPr>
          <w:ilvl w:val="0"/>
          <w:numId w:val="14"/>
        </w:numPr>
        <w:spacing w:line="240" w:lineRule="auto"/>
        <w:rPr>
          <w:rFonts w:ascii="Arial" w:eastAsia="Arial Unicode MS" w:hAnsi="Arial" w:cs="Arial"/>
          <w:i/>
          <w:color w:val="4F81BD" w:themeColor="accent1"/>
          <w:sz w:val="22"/>
          <w:szCs w:val="22"/>
          <w:lang w:val="es-MX"/>
        </w:rPr>
      </w:pPr>
      <w:r w:rsidRPr="00760A2A">
        <w:rPr>
          <w:rFonts w:ascii="Arial" w:eastAsia="Arial Unicode MS" w:hAnsi="Arial" w:cs="Arial"/>
          <w:i/>
          <w:color w:val="4F81BD" w:themeColor="accent1"/>
          <w:sz w:val="22"/>
          <w:szCs w:val="22"/>
          <w:lang w:val="es-MX"/>
        </w:rPr>
        <w:t>Solicito copia de los nombramientos de la Comisión Dictaminadora, del Instituto a su cargo.</w:t>
      </w:r>
    </w:p>
    <w:p w:rsidR="00C36E5B" w:rsidRPr="00760A2A" w:rsidRDefault="00C36E5B" w:rsidP="00C36E5B">
      <w:pPr>
        <w:pStyle w:val="Textoindependienteprimerasangra"/>
        <w:numPr>
          <w:ilvl w:val="0"/>
          <w:numId w:val="14"/>
        </w:numPr>
        <w:spacing w:line="240" w:lineRule="auto"/>
        <w:rPr>
          <w:rFonts w:ascii="Arial" w:eastAsia="Arial Unicode MS" w:hAnsi="Arial" w:cs="Arial"/>
          <w:i/>
          <w:color w:val="4F81BD" w:themeColor="accent1"/>
          <w:sz w:val="22"/>
          <w:szCs w:val="22"/>
          <w:lang w:val="es-MX"/>
        </w:rPr>
      </w:pPr>
      <w:r w:rsidRPr="00760A2A">
        <w:rPr>
          <w:rFonts w:ascii="Arial" w:eastAsia="Arial Unicode MS" w:hAnsi="Arial" w:cs="Arial"/>
          <w:i/>
          <w:color w:val="4F81BD" w:themeColor="accent1"/>
          <w:sz w:val="22"/>
          <w:szCs w:val="22"/>
          <w:lang w:val="es-MX"/>
        </w:rPr>
        <w:t xml:space="preserve">Solicito una relación del Personal Docente que participó en </w:t>
      </w:r>
      <w:proofErr w:type="spellStart"/>
      <w:r w:rsidRPr="00760A2A">
        <w:rPr>
          <w:rFonts w:ascii="Arial" w:eastAsia="Arial Unicode MS" w:hAnsi="Arial" w:cs="Arial"/>
          <w:i/>
          <w:color w:val="4F81BD" w:themeColor="accent1"/>
          <w:sz w:val="22"/>
          <w:szCs w:val="22"/>
          <w:lang w:val="es-MX"/>
        </w:rPr>
        <w:t>en</w:t>
      </w:r>
      <w:proofErr w:type="spellEnd"/>
      <w:r w:rsidRPr="00760A2A">
        <w:rPr>
          <w:rFonts w:ascii="Arial" w:eastAsia="Arial Unicode MS" w:hAnsi="Arial" w:cs="Arial"/>
          <w:i/>
          <w:color w:val="4F81BD" w:themeColor="accent1"/>
          <w:sz w:val="22"/>
          <w:szCs w:val="22"/>
          <w:lang w:val="es-MX"/>
        </w:rPr>
        <w:t xml:space="preserve"> las Convocatoria de Concurso </w:t>
      </w:r>
      <w:r w:rsidR="003705C1" w:rsidRPr="00760A2A">
        <w:rPr>
          <w:rFonts w:ascii="Arial" w:eastAsia="Arial Unicode MS" w:hAnsi="Arial" w:cs="Arial"/>
          <w:i/>
          <w:color w:val="4F81BD" w:themeColor="accent1"/>
          <w:sz w:val="22"/>
          <w:szCs w:val="22"/>
          <w:lang w:val="es-MX"/>
        </w:rPr>
        <w:t>cerrado convocado por usted.</w:t>
      </w:r>
    </w:p>
    <w:p w:rsidR="003705C1" w:rsidRPr="00760A2A" w:rsidRDefault="003705C1" w:rsidP="00C36E5B">
      <w:pPr>
        <w:pStyle w:val="Textoindependienteprimerasangra"/>
        <w:numPr>
          <w:ilvl w:val="0"/>
          <w:numId w:val="14"/>
        </w:numPr>
        <w:spacing w:line="240" w:lineRule="auto"/>
        <w:rPr>
          <w:rFonts w:ascii="Arial" w:eastAsia="Arial Unicode MS" w:hAnsi="Arial" w:cs="Arial"/>
          <w:i/>
          <w:color w:val="4F81BD" w:themeColor="accent1"/>
          <w:sz w:val="22"/>
          <w:szCs w:val="22"/>
          <w:lang w:val="es-MX"/>
        </w:rPr>
      </w:pPr>
      <w:r w:rsidRPr="00760A2A">
        <w:rPr>
          <w:rFonts w:ascii="Arial" w:eastAsia="Arial Unicode MS" w:hAnsi="Arial" w:cs="Arial"/>
          <w:i/>
          <w:color w:val="4F81BD" w:themeColor="accent1"/>
          <w:sz w:val="22"/>
          <w:szCs w:val="22"/>
          <w:lang w:val="es-MX"/>
        </w:rPr>
        <w:t>Solicito un informe del personal docente de esta Institución a su cargo donde refleje la siguiente información:</w:t>
      </w:r>
    </w:p>
    <w:p w:rsidR="003705C1" w:rsidRPr="00760A2A" w:rsidRDefault="003705C1" w:rsidP="003705C1">
      <w:pPr>
        <w:pStyle w:val="Textoindependienteprimerasangra"/>
        <w:spacing w:line="240" w:lineRule="auto"/>
        <w:ind w:left="2111" w:firstLine="0"/>
        <w:rPr>
          <w:rFonts w:ascii="Arial" w:eastAsia="Arial Unicode MS" w:hAnsi="Arial" w:cs="Arial"/>
          <w:i/>
          <w:color w:val="4F81BD" w:themeColor="accent1"/>
          <w:sz w:val="22"/>
          <w:szCs w:val="22"/>
          <w:lang w:val="es-MX"/>
        </w:rPr>
      </w:pPr>
      <w:r w:rsidRPr="00760A2A">
        <w:rPr>
          <w:rFonts w:ascii="Arial" w:eastAsia="Arial Unicode MS" w:hAnsi="Arial" w:cs="Arial"/>
          <w:i/>
          <w:color w:val="4F81BD" w:themeColor="accent1"/>
          <w:sz w:val="22"/>
          <w:szCs w:val="22"/>
          <w:lang w:val="es-MX"/>
        </w:rPr>
        <w:t>Nombre; fecha de ingreso, y la plaza de ingreso y la fecha de los efectos presupuestales, así como las que han ascendido durante los años de antigüedad que tiene en la Institución hasta su última asignada con sus respectivas fechas de efectos presupuestales; es decir desde cuando inicio y cuando termino.</w:t>
      </w:r>
    </w:p>
    <w:p w:rsidR="003705C1" w:rsidRPr="00760A2A" w:rsidRDefault="003705C1" w:rsidP="003705C1">
      <w:pPr>
        <w:pStyle w:val="Textoindependienteprimerasangra"/>
        <w:numPr>
          <w:ilvl w:val="0"/>
          <w:numId w:val="14"/>
        </w:numPr>
        <w:spacing w:line="240" w:lineRule="auto"/>
        <w:rPr>
          <w:rFonts w:ascii="Arial" w:eastAsia="Arial Unicode MS" w:hAnsi="Arial" w:cs="Arial"/>
          <w:i/>
          <w:color w:val="4F81BD" w:themeColor="accent1"/>
          <w:sz w:val="22"/>
          <w:szCs w:val="22"/>
          <w:lang w:val="es-MX"/>
        </w:rPr>
      </w:pPr>
      <w:r w:rsidRPr="00760A2A">
        <w:rPr>
          <w:rFonts w:ascii="Arial" w:eastAsia="Arial Unicode MS" w:hAnsi="Arial" w:cs="Arial"/>
          <w:i/>
          <w:color w:val="4F81BD" w:themeColor="accent1"/>
          <w:sz w:val="22"/>
          <w:szCs w:val="22"/>
          <w:lang w:val="es-MX"/>
        </w:rPr>
        <w:t>Solicito copia de la Estructura Educativa DPPI de Enero a Junio de 2012 a 2017.</w:t>
      </w:r>
    </w:p>
    <w:p w:rsidR="003705C1" w:rsidRPr="00760A2A" w:rsidRDefault="003705C1" w:rsidP="003705C1">
      <w:pPr>
        <w:pStyle w:val="Textoindependienteprimerasangra"/>
        <w:numPr>
          <w:ilvl w:val="0"/>
          <w:numId w:val="14"/>
        </w:numPr>
        <w:spacing w:line="240" w:lineRule="auto"/>
        <w:rPr>
          <w:rFonts w:ascii="Arial" w:eastAsia="Arial Unicode MS" w:hAnsi="Arial" w:cs="Arial"/>
          <w:i/>
          <w:color w:val="4F81BD" w:themeColor="accent1"/>
          <w:sz w:val="22"/>
          <w:szCs w:val="22"/>
          <w:lang w:val="es-MX"/>
        </w:rPr>
      </w:pPr>
      <w:r w:rsidRPr="00760A2A">
        <w:rPr>
          <w:rFonts w:ascii="Arial" w:eastAsia="Arial Unicode MS" w:hAnsi="Arial" w:cs="Arial"/>
          <w:i/>
          <w:color w:val="4F81BD" w:themeColor="accent1"/>
          <w:sz w:val="22"/>
          <w:szCs w:val="22"/>
          <w:lang w:val="es-MX"/>
        </w:rPr>
        <w:t>Solicito copia de la Estructura Educativa DPPI de Agosto a Diciembre de 2012 a 2016.</w:t>
      </w:r>
    </w:p>
    <w:p w:rsidR="00700044" w:rsidRPr="00760A2A" w:rsidRDefault="00547C44" w:rsidP="00FF4E67">
      <w:pPr>
        <w:spacing w:before="240"/>
        <w:ind w:firstLine="708"/>
        <w:rPr>
          <w:rFonts w:ascii="Arial" w:hAnsi="Arial" w:cs="Arial"/>
          <w:color w:val="4F81BD" w:themeColor="accent1"/>
        </w:rPr>
      </w:pPr>
      <w:r w:rsidRPr="00760A2A">
        <w:rPr>
          <w:rFonts w:ascii="Arial" w:eastAsia="Arial Unicode MS" w:hAnsi="Arial" w:cs="Arial"/>
          <w:b/>
          <w:color w:val="4F81BD" w:themeColor="accent1"/>
        </w:rPr>
        <w:t xml:space="preserve">SEGUNDO. </w:t>
      </w:r>
      <w:r w:rsidRPr="00760A2A">
        <w:rPr>
          <w:rFonts w:ascii="Arial" w:hAnsi="Arial" w:cs="Arial"/>
          <w:b/>
          <w:color w:val="4F81BD" w:themeColor="accent1"/>
        </w:rPr>
        <w:t xml:space="preserve">Respuesta del sujeto obligado. </w:t>
      </w:r>
      <w:r w:rsidR="003705C1" w:rsidRPr="00760A2A">
        <w:rPr>
          <w:rFonts w:ascii="Arial" w:hAnsi="Arial" w:cs="Arial"/>
          <w:color w:val="4F81BD" w:themeColor="accent1"/>
        </w:rPr>
        <w:t>De las constancias que obran en los presentes autos, no exi</w:t>
      </w:r>
      <w:r w:rsidR="00700044" w:rsidRPr="00760A2A">
        <w:rPr>
          <w:rFonts w:ascii="Arial" w:hAnsi="Arial" w:cs="Arial"/>
          <w:color w:val="4F81BD" w:themeColor="accent1"/>
        </w:rPr>
        <w:t xml:space="preserve">ste constancia alguna por la que se advierta que existe una contestación por parte del sujeto obligado.  </w:t>
      </w:r>
    </w:p>
    <w:p w:rsidR="00547C44" w:rsidRPr="00760A2A" w:rsidRDefault="00547C44" w:rsidP="00DC51FF">
      <w:pPr>
        <w:pStyle w:val="Textoindependienteprimerasangra"/>
        <w:spacing w:before="240" w:after="0"/>
        <w:ind w:firstLine="708"/>
        <w:rPr>
          <w:rFonts w:ascii="Arial" w:eastAsia="Arial Unicode MS" w:hAnsi="Arial" w:cs="Arial"/>
          <w:color w:val="4F81BD" w:themeColor="accent1"/>
          <w:szCs w:val="26"/>
          <w:lang w:val="es-MX"/>
        </w:rPr>
      </w:pPr>
      <w:r w:rsidRPr="00760A2A">
        <w:rPr>
          <w:rFonts w:ascii="Arial" w:hAnsi="Arial" w:cs="Arial"/>
          <w:b/>
          <w:color w:val="4F81BD" w:themeColor="accent1"/>
          <w:szCs w:val="26"/>
        </w:rPr>
        <w:lastRenderedPageBreak/>
        <w:t xml:space="preserve">TERCERO. Interposición del recurso de revisión. </w:t>
      </w:r>
      <w:r w:rsidRPr="00760A2A">
        <w:rPr>
          <w:rFonts w:ascii="Arial" w:hAnsi="Arial" w:cs="Arial"/>
          <w:color w:val="4F81BD" w:themeColor="accent1"/>
          <w:szCs w:val="26"/>
        </w:rPr>
        <w:t xml:space="preserve">El </w:t>
      </w:r>
      <w:r w:rsidR="00700044" w:rsidRPr="00760A2A">
        <w:rPr>
          <w:rFonts w:ascii="Arial" w:hAnsi="Arial" w:cs="Arial"/>
          <w:color w:val="4F81BD" w:themeColor="accent1"/>
          <w:szCs w:val="26"/>
        </w:rPr>
        <w:t>treinta y uno de a</w:t>
      </w:r>
      <w:r w:rsidR="00FE18F2" w:rsidRPr="00760A2A">
        <w:rPr>
          <w:rFonts w:ascii="Arial" w:hAnsi="Arial" w:cs="Arial"/>
          <w:color w:val="4F81BD" w:themeColor="accent1"/>
          <w:szCs w:val="26"/>
        </w:rPr>
        <w:t>gosto d</w:t>
      </w:r>
      <w:r w:rsidR="00033326" w:rsidRPr="00760A2A">
        <w:rPr>
          <w:rFonts w:ascii="Arial" w:hAnsi="Arial" w:cs="Arial"/>
          <w:color w:val="4F81BD" w:themeColor="accent1"/>
          <w:szCs w:val="26"/>
        </w:rPr>
        <w:t>e dos mil diecisiete</w:t>
      </w:r>
      <w:r w:rsidRPr="00760A2A">
        <w:rPr>
          <w:rFonts w:ascii="Arial" w:hAnsi="Arial" w:cs="Arial"/>
          <w:color w:val="4F81BD" w:themeColor="accent1"/>
          <w:szCs w:val="26"/>
        </w:rPr>
        <w:t>,</w:t>
      </w:r>
      <w:r w:rsidR="00FF4E67" w:rsidRPr="00760A2A">
        <w:rPr>
          <w:rFonts w:ascii="Arial" w:hAnsi="Arial" w:cs="Arial"/>
          <w:color w:val="4F81BD" w:themeColor="accent1"/>
          <w:szCs w:val="26"/>
        </w:rPr>
        <w:t xml:space="preserve"> el recurrente interpuso el presente medio de impugnación </w:t>
      </w:r>
      <w:r w:rsidR="00700044" w:rsidRPr="00760A2A">
        <w:rPr>
          <w:rFonts w:ascii="Arial" w:hAnsi="Arial" w:cs="Arial"/>
          <w:color w:val="4F81BD" w:themeColor="accent1"/>
          <w:szCs w:val="26"/>
        </w:rPr>
        <w:t>en la Oficialía de Partes de ést</w:t>
      </w:r>
      <w:r w:rsidR="00FF4E67" w:rsidRPr="00760A2A">
        <w:rPr>
          <w:rFonts w:ascii="Arial" w:hAnsi="Arial" w:cs="Arial"/>
          <w:color w:val="4F81BD" w:themeColor="accent1"/>
          <w:szCs w:val="26"/>
        </w:rPr>
        <w:t>a</w:t>
      </w:r>
      <w:r w:rsidR="00700044" w:rsidRPr="00760A2A">
        <w:rPr>
          <w:rFonts w:ascii="Arial" w:hAnsi="Arial" w:cs="Arial"/>
          <w:color w:val="4F81BD" w:themeColor="accent1"/>
          <w:szCs w:val="26"/>
        </w:rPr>
        <w:t xml:space="preserve"> Comisión, </w:t>
      </w:r>
      <w:r w:rsidR="00662D15" w:rsidRPr="00760A2A">
        <w:rPr>
          <w:rFonts w:ascii="Arial" w:hAnsi="Arial" w:cs="Arial"/>
          <w:color w:val="4F81BD" w:themeColor="accent1"/>
          <w:szCs w:val="26"/>
        </w:rPr>
        <w:t xml:space="preserve">por </w:t>
      </w:r>
      <w:r w:rsidR="00FF4E67" w:rsidRPr="00760A2A">
        <w:rPr>
          <w:rFonts w:ascii="Arial" w:hAnsi="Arial" w:cs="Arial"/>
          <w:color w:val="4F81BD" w:themeColor="accent1"/>
          <w:szCs w:val="26"/>
        </w:rPr>
        <w:t xml:space="preserve">el cual </w:t>
      </w:r>
      <w:r w:rsidR="00F4355F" w:rsidRPr="00760A2A">
        <w:rPr>
          <w:rFonts w:ascii="Arial" w:hAnsi="Arial" w:cs="Arial"/>
          <w:color w:val="4F81BD" w:themeColor="accent1"/>
          <w:szCs w:val="26"/>
        </w:rPr>
        <w:t xml:space="preserve">se inconformó con </w:t>
      </w:r>
      <w:r w:rsidR="00387DB5" w:rsidRPr="00760A2A">
        <w:rPr>
          <w:rFonts w:ascii="Arial" w:hAnsi="Arial" w:cs="Arial"/>
          <w:color w:val="4F81BD" w:themeColor="accent1"/>
          <w:szCs w:val="26"/>
        </w:rPr>
        <w:t xml:space="preserve">motivo de </w:t>
      </w:r>
      <w:r w:rsidR="00FF4E67" w:rsidRPr="00760A2A">
        <w:rPr>
          <w:rFonts w:ascii="Arial" w:hAnsi="Arial" w:cs="Arial"/>
          <w:color w:val="4F81BD" w:themeColor="accent1"/>
          <w:szCs w:val="26"/>
        </w:rPr>
        <w:t xml:space="preserve">la </w:t>
      </w:r>
      <w:r w:rsidR="00387DB5" w:rsidRPr="00760A2A">
        <w:rPr>
          <w:rFonts w:ascii="Arial" w:hAnsi="Arial" w:cs="Arial"/>
          <w:color w:val="4F81BD" w:themeColor="accent1"/>
          <w:szCs w:val="26"/>
        </w:rPr>
        <w:t xml:space="preserve">falta de </w:t>
      </w:r>
      <w:r w:rsidR="00FF4E67" w:rsidRPr="00760A2A">
        <w:rPr>
          <w:rFonts w:ascii="Arial" w:hAnsi="Arial" w:cs="Arial"/>
          <w:color w:val="4F81BD" w:themeColor="accent1"/>
          <w:szCs w:val="26"/>
        </w:rPr>
        <w:t>respuesta</w:t>
      </w:r>
      <w:r w:rsidR="004026B8" w:rsidRPr="00760A2A">
        <w:rPr>
          <w:rFonts w:ascii="Arial" w:hAnsi="Arial" w:cs="Arial"/>
          <w:color w:val="4F81BD" w:themeColor="accent1"/>
          <w:szCs w:val="26"/>
        </w:rPr>
        <w:t xml:space="preserve"> por parte del</w:t>
      </w:r>
      <w:r w:rsidRPr="00760A2A">
        <w:rPr>
          <w:rFonts w:ascii="Arial" w:hAnsi="Arial" w:cs="Arial"/>
          <w:color w:val="4F81BD" w:themeColor="accent1"/>
          <w:szCs w:val="26"/>
        </w:rPr>
        <w:t xml:space="preserve"> </w:t>
      </w:r>
      <w:r w:rsidR="004026B8" w:rsidRPr="00760A2A">
        <w:rPr>
          <w:rFonts w:ascii="Arial" w:eastAsia="Arial Unicode MS" w:hAnsi="Arial" w:cs="Arial"/>
          <w:b/>
          <w:color w:val="4F81BD" w:themeColor="accent1"/>
          <w:szCs w:val="26"/>
          <w:lang w:val="es-MX"/>
        </w:rPr>
        <w:t xml:space="preserve">INSTITUTO </w:t>
      </w:r>
      <w:r w:rsidR="00387DB5" w:rsidRPr="00760A2A">
        <w:rPr>
          <w:rFonts w:ascii="Arial" w:eastAsia="Arial Unicode MS" w:hAnsi="Arial" w:cs="Arial"/>
          <w:b/>
          <w:color w:val="4F81BD" w:themeColor="accent1"/>
          <w:szCs w:val="26"/>
          <w:lang w:val="es-MX"/>
        </w:rPr>
        <w:t>TECNOLÓGICO DE MATEHUALA</w:t>
      </w:r>
      <w:r w:rsidRPr="00760A2A">
        <w:rPr>
          <w:rFonts w:ascii="Arial" w:eastAsia="Arial Unicode MS" w:hAnsi="Arial" w:cs="Arial"/>
          <w:b/>
          <w:color w:val="4F81BD" w:themeColor="accent1"/>
          <w:szCs w:val="26"/>
          <w:lang w:val="es-MX"/>
        </w:rPr>
        <w:t>,</w:t>
      </w:r>
      <w:r w:rsidR="00C9337E" w:rsidRPr="00760A2A">
        <w:rPr>
          <w:rFonts w:ascii="Arial" w:eastAsia="Arial Unicode MS" w:hAnsi="Arial" w:cs="Arial"/>
          <w:color w:val="4F81BD" w:themeColor="accent1"/>
          <w:szCs w:val="26"/>
          <w:lang w:val="es-MX"/>
        </w:rPr>
        <w:t xml:space="preserve"> y en </w:t>
      </w:r>
      <w:r w:rsidR="00FE18F2" w:rsidRPr="00760A2A">
        <w:rPr>
          <w:rFonts w:ascii="Arial" w:eastAsia="Arial Unicode MS" w:hAnsi="Arial" w:cs="Arial"/>
          <w:color w:val="4F81BD" w:themeColor="accent1"/>
          <w:szCs w:val="26"/>
          <w:lang w:val="es-MX"/>
        </w:rPr>
        <w:t xml:space="preserve">descripción de su inconformidad </w:t>
      </w:r>
      <w:r w:rsidR="00C9337E" w:rsidRPr="00760A2A">
        <w:rPr>
          <w:rFonts w:ascii="Arial" w:eastAsia="Arial Unicode MS" w:hAnsi="Arial" w:cs="Arial"/>
          <w:color w:val="4F81BD" w:themeColor="accent1"/>
          <w:szCs w:val="26"/>
          <w:lang w:val="es-MX"/>
        </w:rPr>
        <w:t>señaló</w:t>
      </w:r>
      <w:r w:rsidRPr="00760A2A">
        <w:rPr>
          <w:rFonts w:ascii="Arial" w:eastAsia="Arial Unicode MS" w:hAnsi="Arial" w:cs="Arial"/>
          <w:color w:val="4F81BD" w:themeColor="accent1"/>
          <w:szCs w:val="26"/>
          <w:lang w:val="es-MX"/>
        </w:rPr>
        <w:t>:</w:t>
      </w:r>
    </w:p>
    <w:p w:rsidR="00FE18F2" w:rsidRPr="00760A2A" w:rsidRDefault="00FE18F2" w:rsidP="00FE18F2">
      <w:pPr>
        <w:pStyle w:val="Textoindependienteprimerasangra"/>
        <w:spacing w:line="240" w:lineRule="auto"/>
        <w:ind w:left="709" w:firstLine="708"/>
        <w:rPr>
          <w:rFonts w:ascii="Arial" w:hAnsi="Arial" w:cs="Arial"/>
          <w:i/>
          <w:color w:val="4F81BD" w:themeColor="accent1"/>
          <w:sz w:val="22"/>
          <w:szCs w:val="22"/>
        </w:rPr>
      </w:pPr>
    </w:p>
    <w:p w:rsidR="00C9337E" w:rsidRPr="00760A2A" w:rsidRDefault="004C50E3" w:rsidP="00FE18F2">
      <w:pPr>
        <w:pStyle w:val="Textoindependienteprimerasangra"/>
        <w:spacing w:line="240" w:lineRule="auto"/>
        <w:ind w:left="709" w:firstLine="708"/>
        <w:rPr>
          <w:rFonts w:ascii="Arial" w:hAnsi="Arial" w:cs="Arial"/>
          <w:i/>
          <w:color w:val="4F81BD" w:themeColor="accent1"/>
          <w:sz w:val="22"/>
          <w:szCs w:val="22"/>
        </w:rPr>
      </w:pPr>
      <w:r w:rsidRPr="00760A2A">
        <w:rPr>
          <w:rFonts w:ascii="Arial" w:hAnsi="Arial" w:cs="Arial"/>
          <w:i/>
          <w:color w:val="4F81BD" w:themeColor="accent1"/>
          <w:sz w:val="22"/>
          <w:szCs w:val="22"/>
        </w:rPr>
        <w:t>“</w:t>
      </w:r>
      <w:r w:rsidR="00387DB5" w:rsidRPr="00760A2A">
        <w:rPr>
          <w:rFonts w:ascii="Arial" w:hAnsi="Arial" w:cs="Arial"/>
          <w:i/>
          <w:color w:val="4F81BD" w:themeColor="accent1"/>
          <w:sz w:val="22"/>
          <w:szCs w:val="22"/>
        </w:rPr>
        <w:t>...Solicitamos su intervención para que se revise a través del derecho de Queja/Recurso de Revisión en virtud de que solicite información en fecha 29 de junio de 2017 al C. ING. ROGELIO CHAVARRIA ELIZONDO, director del Instituto Tecnológico de Matehuala con domicilio en Carretera 57 Km. 5 Tramo Matehuala- Saltillo, C.P. 78746, el cual a la fecha no he recibido contestación y debido a que fue el día 29 de junio de 2017 el último día laborable por atravesarse el periodo vacacional de verano, reanudando las labores el día 31 de Julio en la institución el término de responder venció el día 11 de agosto de 2017, el cual no hubo respuesta, dándose la negativa ficta al presente, por lo cual vengo a interponer el Recurso de Revisión a lo que niega de manera general la información solicitada. De acuerdo anexos I.</w:t>
      </w:r>
      <w:r w:rsidR="00FE18F2" w:rsidRPr="00760A2A">
        <w:rPr>
          <w:rFonts w:ascii="Arial" w:hAnsi="Arial" w:cs="Arial"/>
          <w:i/>
          <w:color w:val="4F81BD" w:themeColor="accent1"/>
          <w:sz w:val="22"/>
          <w:szCs w:val="22"/>
        </w:rPr>
        <w:t>.</w:t>
      </w:r>
      <w:r w:rsidR="007A78FF" w:rsidRPr="00760A2A">
        <w:rPr>
          <w:rFonts w:ascii="Arial" w:hAnsi="Arial" w:cs="Arial"/>
          <w:i/>
          <w:color w:val="4F81BD" w:themeColor="accent1"/>
          <w:sz w:val="22"/>
          <w:szCs w:val="22"/>
        </w:rPr>
        <w:t>.</w:t>
      </w:r>
      <w:r w:rsidRPr="00760A2A">
        <w:rPr>
          <w:rFonts w:ascii="Arial" w:hAnsi="Arial" w:cs="Arial"/>
          <w:i/>
          <w:color w:val="4F81BD" w:themeColor="accent1"/>
          <w:sz w:val="22"/>
          <w:szCs w:val="22"/>
        </w:rPr>
        <w:t>”</w:t>
      </w:r>
      <w:r w:rsidR="00013C06" w:rsidRPr="00760A2A">
        <w:rPr>
          <w:rFonts w:ascii="Arial" w:hAnsi="Arial" w:cs="Arial"/>
          <w:i/>
          <w:color w:val="4F81BD" w:themeColor="accent1"/>
          <w:sz w:val="22"/>
          <w:szCs w:val="22"/>
        </w:rPr>
        <w:t>.</w:t>
      </w:r>
    </w:p>
    <w:p w:rsidR="00DB3B57" w:rsidRPr="00760A2A" w:rsidRDefault="00DB3B57" w:rsidP="00662D15">
      <w:pPr>
        <w:spacing w:before="240"/>
        <w:rPr>
          <w:rFonts w:ascii="Arial" w:hAnsi="Arial" w:cs="Arial"/>
          <w:color w:val="4F81BD" w:themeColor="accent1"/>
        </w:rPr>
      </w:pPr>
    </w:p>
    <w:p w:rsidR="00547C44" w:rsidRPr="00760A2A" w:rsidRDefault="00547C44" w:rsidP="00662D15">
      <w:pPr>
        <w:spacing w:before="240"/>
        <w:rPr>
          <w:rFonts w:ascii="Arial" w:hAnsi="Arial" w:cs="Arial"/>
          <w:color w:val="4F81BD" w:themeColor="accent1"/>
        </w:rPr>
      </w:pPr>
      <w:r w:rsidRPr="00760A2A">
        <w:rPr>
          <w:rFonts w:ascii="Arial" w:hAnsi="Arial" w:cs="Arial"/>
          <w:color w:val="4F81BD" w:themeColor="accent1"/>
        </w:rPr>
        <w:tab/>
      </w:r>
      <w:r w:rsidRPr="00760A2A">
        <w:rPr>
          <w:rFonts w:ascii="Arial" w:hAnsi="Arial" w:cs="Arial"/>
          <w:b/>
          <w:color w:val="4F81BD" w:themeColor="accent1"/>
        </w:rPr>
        <w:t>CUARTO. Turno.</w:t>
      </w:r>
      <w:r w:rsidRPr="00760A2A">
        <w:rPr>
          <w:rFonts w:ascii="Arial" w:hAnsi="Arial" w:cs="Arial"/>
          <w:color w:val="4F81BD" w:themeColor="accent1"/>
        </w:rPr>
        <w:t xml:space="preserve"> De conformidad con el artículo 174, fracción I de la Ley de Transparencia y Acceso a la Información Pública del Estado, el recurso de revisión R</w:t>
      </w:r>
      <w:r w:rsidR="00387DB5" w:rsidRPr="00760A2A">
        <w:rPr>
          <w:rFonts w:ascii="Arial" w:hAnsi="Arial" w:cs="Arial"/>
          <w:color w:val="4F81BD" w:themeColor="accent1"/>
        </w:rPr>
        <w:t>R-570</w:t>
      </w:r>
      <w:r w:rsidR="00033326" w:rsidRPr="00760A2A">
        <w:rPr>
          <w:rFonts w:ascii="Arial" w:hAnsi="Arial" w:cs="Arial"/>
          <w:color w:val="4F81BD" w:themeColor="accent1"/>
        </w:rPr>
        <w:t>/2017</w:t>
      </w:r>
      <w:r w:rsidRPr="00760A2A">
        <w:rPr>
          <w:rFonts w:ascii="Arial" w:hAnsi="Arial" w:cs="Arial"/>
          <w:color w:val="4F81BD" w:themeColor="accent1"/>
        </w:rPr>
        <w:t>-3 fue t</w:t>
      </w:r>
      <w:r w:rsidR="00013C06" w:rsidRPr="00760A2A">
        <w:rPr>
          <w:rFonts w:ascii="Arial" w:hAnsi="Arial" w:cs="Arial"/>
          <w:color w:val="4F81BD" w:themeColor="accent1"/>
        </w:rPr>
        <w:t>urnado a la Comisionada Ponente</w:t>
      </w:r>
      <w:r w:rsidRPr="00760A2A">
        <w:rPr>
          <w:rFonts w:ascii="Arial" w:hAnsi="Arial" w:cs="Arial"/>
          <w:color w:val="4F81BD" w:themeColor="accent1"/>
        </w:rPr>
        <w:t xml:space="preserve"> para que sustanciara el periodo de instrucción, y en su momento presentara al Pleno el proyecto de resolución correspondiente.</w:t>
      </w:r>
    </w:p>
    <w:p w:rsidR="00547C44" w:rsidRPr="00760A2A" w:rsidRDefault="00547C44" w:rsidP="00033326">
      <w:pPr>
        <w:spacing w:before="240" w:after="240"/>
        <w:rPr>
          <w:rFonts w:ascii="Arial" w:hAnsi="Arial" w:cs="Arial"/>
          <w:color w:val="4F81BD" w:themeColor="accent1"/>
        </w:rPr>
      </w:pPr>
      <w:r w:rsidRPr="00760A2A">
        <w:rPr>
          <w:rFonts w:ascii="Arial" w:hAnsi="Arial" w:cs="Arial"/>
          <w:b/>
          <w:color w:val="4F81BD" w:themeColor="accent1"/>
        </w:rPr>
        <w:tab/>
        <w:t xml:space="preserve">QUINTO. Admisión. </w:t>
      </w:r>
      <w:r w:rsidRPr="00760A2A">
        <w:rPr>
          <w:rFonts w:ascii="Arial" w:hAnsi="Arial" w:cs="Arial"/>
          <w:color w:val="4F81BD" w:themeColor="accent1"/>
        </w:rPr>
        <w:t xml:space="preserve">El </w:t>
      </w:r>
      <w:r w:rsidR="00EC2F57" w:rsidRPr="00760A2A">
        <w:rPr>
          <w:rFonts w:ascii="Arial" w:hAnsi="Arial" w:cs="Arial"/>
          <w:color w:val="4F81BD" w:themeColor="accent1"/>
        </w:rPr>
        <w:t>siete de septiembre</w:t>
      </w:r>
      <w:r w:rsidR="00FE18F2" w:rsidRPr="00760A2A">
        <w:rPr>
          <w:rFonts w:ascii="Arial" w:hAnsi="Arial" w:cs="Arial"/>
          <w:color w:val="4F81BD" w:themeColor="accent1"/>
        </w:rPr>
        <w:t xml:space="preserve"> de dos </w:t>
      </w:r>
      <w:r w:rsidR="00033326" w:rsidRPr="00760A2A">
        <w:rPr>
          <w:rFonts w:ascii="Arial" w:hAnsi="Arial" w:cs="Arial"/>
          <w:color w:val="4F81BD" w:themeColor="accent1"/>
        </w:rPr>
        <w:t>mil diecisiete</w:t>
      </w:r>
      <w:r w:rsidRPr="00760A2A">
        <w:rPr>
          <w:rFonts w:ascii="Arial" w:hAnsi="Arial" w:cs="Arial"/>
          <w:color w:val="4F81BD" w:themeColor="accent1"/>
        </w:rPr>
        <w:t xml:space="preserve">, esta Comisión, con base en el artículo 174, fracción II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FE18F2" w:rsidRPr="00760A2A" w:rsidRDefault="00547C44" w:rsidP="00FE18F2">
      <w:pPr>
        <w:rPr>
          <w:rFonts w:ascii="Arial" w:hAnsi="Arial" w:cs="Arial"/>
          <w:color w:val="4F81BD" w:themeColor="accent1"/>
        </w:rPr>
      </w:pPr>
      <w:r w:rsidRPr="00760A2A">
        <w:rPr>
          <w:rFonts w:ascii="Arial" w:hAnsi="Arial" w:cs="Arial"/>
          <w:b/>
          <w:color w:val="4F81BD" w:themeColor="accent1"/>
        </w:rPr>
        <w:tab/>
        <w:t xml:space="preserve">SEXTO. </w:t>
      </w:r>
      <w:r w:rsidR="00457939" w:rsidRPr="00760A2A">
        <w:rPr>
          <w:rFonts w:ascii="Arial" w:hAnsi="Arial" w:cs="Arial"/>
          <w:b/>
          <w:color w:val="4F81BD" w:themeColor="accent1"/>
        </w:rPr>
        <w:t>Manifestaciones de las partes</w:t>
      </w:r>
      <w:r w:rsidRPr="00760A2A">
        <w:rPr>
          <w:rFonts w:ascii="Arial" w:hAnsi="Arial" w:cs="Arial"/>
          <w:b/>
          <w:color w:val="4F81BD" w:themeColor="accent1"/>
        </w:rPr>
        <w:t xml:space="preserve">. </w:t>
      </w:r>
      <w:r w:rsidRPr="00760A2A">
        <w:rPr>
          <w:rFonts w:ascii="Arial" w:hAnsi="Arial" w:cs="Arial"/>
          <w:color w:val="4F81BD" w:themeColor="accent1"/>
        </w:rPr>
        <w:t xml:space="preserve">El </w:t>
      </w:r>
      <w:r w:rsidR="00EC2F57" w:rsidRPr="00760A2A">
        <w:rPr>
          <w:rFonts w:ascii="Arial" w:hAnsi="Arial" w:cs="Arial"/>
          <w:color w:val="4F81BD" w:themeColor="accent1"/>
        </w:rPr>
        <w:t>trece de octubre</w:t>
      </w:r>
      <w:r w:rsidR="007A78FF" w:rsidRPr="00760A2A">
        <w:rPr>
          <w:rFonts w:ascii="Arial" w:hAnsi="Arial" w:cs="Arial"/>
          <w:color w:val="4F81BD" w:themeColor="accent1"/>
        </w:rPr>
        <w:t xml:space="preserve"> </w:t>
      </w:r>
      <w:r w:rsidR="00720E84" w:rsidRPr="00760A2A">
        <w:rPr>
          <w:rFonts w:ascii="Arial" w:hAnsi="Arial" w:cs="Arial"/>
          <w:color w:val="4F81BD" w:themeColor="accent1"/>
        </w:rPr>
        <w:t>de dos mil diecisiete</w:t>
      </w:r>
      <w:r w:rsidRPr="00760A2A">
        <w:rPr>
          <w:rFonts w:ascii="Arial" w:hAnsi="Arial" w:cs="Arial"/>
          <w:color w:val="4F81BD" w:themeColor="accent1"/>
        </w:rPr>
        <w:t>, se emitió un acuerdo po</w:t>
      </w:r>
      <w:r w:rsidR="00C9337E" w:rsidRPr="00760A2A">
        <w:rPr>
          <w:rFonts w:ascii="Arial" w:hAnsi="Arial" w:cs="Arial"/>
          <w:color w:val="4F81BD" w:themeColor="accent1"/>
        </w:rPr>
        <w:t>r el cual se tuvo por recibido</w:t>
      </w:r>
      <w:r w:rsidR="00E76911" w:rsidRPr="00760A2A">
        <w:rPr>
          <w:rFonts w:ascii="Arial" w:hAnsi="Arial" w:cs="Arial"/>
          <w:color w:val="4F81BD" w:themeColor="accent1"/>
        </w:rPr>
        <w:t xml:space="preserve"> el escrito signado por </w:t>
      </w:r>
      <w:r w:rsidR="00720E84" w:rsidRPr="00760A2A">
        <w:rPr>
          <w:rFonts w:ascii="Arial" w:hAnsi="Arial" w:cs="Arial"/>
          <w:color w:val="4F81BD" w:themeColor="accent1"/>
        </w:rPr>
        <w:t>el</w:t>
      </w:r>
      <w:r w:rsidR="00E76911" w:rsidRPr="00760A2A">
        <w:rPr>
          <w:rFonts w:ascii="Arial" w:hAnsi="Arial" w:cs="Arial"/>
          <w:color w:val="4F81BD" w:themeColor="accent1"/>
        </w:rPr>
        <w:t xml:space="preserve"> </w:t>
      </w:r>
      <w:r w:rsidR="00EC2F57" w:rsidRPr="00760A2A">
        <w:rPr>
          <w:rFonts w:ascii="Arial" w:hAnsi="Arial" w:cs="Arial"/>
          <w:color w:val="4F81BD" w:themeColor="accent1"/>
        </w:rPr>
        <w:t xml:space="preserve">Director del Instituto Tecnológico de Matehuala, S.L.P., </w:t>
      </w:r>
      <w:r w:rsidR="00E76911" w:rsidRPr="00760A2A">
        <w:rPr>
          <w:rFonts w:ascii="Arial" w:hAnsi="Arial" w:cs="Arial"/>
          <w:color w:val="4F81BD" w:themeColor="accent1"/>
        </w:rPr>
        <w:t xml:space="preserve">el cual se presentó </w:t>
      </w:r>
      <w:r w:rsidR="00545919" w:rsidRPr="00760A2A">
        <w:rPr>
          <w:rFonts w:ascii="Arial" w:hAnsi="Arial" w:cs="Arial"/>
          <w:color w:val="4F81BD" w:themeColor="accent1"/>
        </w:rPr>
        <w:t xml:space="preserve">en tiempo acorde a la </w:t>
      </w:r>
      <w:r w:rsidR="003C2E2E" w:rsidRPr="00760A2A">
        <w:rPr>
          <w:rFonts w:ascii="Arial" w:hAnsi="Arial" w:cs="Arial"/>
          <w:color w:val="4F81BD" w:themeColor="accent1"/>
        </w:rPr>
        <w:t>certific</w:t>
      </w:r>
      <w:r w:rsidR="007A78FF" w:rsidRPr="00760A2A">
        <w:rPr>
          <w:rFonts w:ascii="Arial" w:hAnsi="Arial" w:cs="Arial"/>
          <w:color w:val="4F81BD" w:themeColor="accent1"/>
        </w:rPr>
        <w:t xml:space="preserve">ación que obra a </w:t>
      </w:r>
      <w:r w:rsidR="007A78FF" w:rsidRPr="00760A2A">
        <w:rPr>
          <w:rFonts w:ascii="Arial" w:hAnsi="Arial" w:cs="Arial"/>
          <w:color w:val="4F81BD" w:themeColor="accent1"/>
        </w:rPr>
        <w:lastRenderedPageBreak/>
        <w:t xml:space="preserve">foja </w:t>
      </w:r>
      <w:r w:rsidR="00EC2F57" w:rsidRPr="00760A2A">
        <w:rPr>
          <w:rFonts w:ascii="Arial" w:hAnsi="Arial" w:cs="Arial"/>
          <w:color w:val="4F81BD" w:themeColor="accent1"/>
        </w:rPr>
        <w:t>113</w:t>
      </w:r>
      <w:r w:rsidR="00FE18F2" w:rsidRPr="00760A2A">
        <w:rPr>
          <w:rFonts w:ascii="Arial" w:hAnsi="Arial" w:cs="Arial"/>
          <w:color w:val="4F81BD" w:themeColor="accent1"/>
        </w:rPr>
        <w:t xml:space="preserve"> </w:t>
      </w:r>
      <w:r w:rsidR="00545919" w:rsidRPr="00760A2A">
        <w:rPr>
          <w:rFonts w:ascii="Arial" w:hAnsi="Arial" w:cs="Arial"/>
          <w:color w:val="4F81BD" w:themeColor="accent1"/>
        </w:rPr>
        <w:t>del presente sumario, por lo que el ente obligado realizó las manifes</w:t>
      </w:r>
      <w:r w:rsidR="00FA039E" w:rsidRPr="00760A2A">
        <w:rPr>
          <w:rFonts w:ascii="Arial" w:hAnsi="Arial" w:cs="Arial"/>
          <w:color w:val="4F81BD" w:themeColor="accent1"/>
        </w:rPr>
        <w:t>taciones que a su derecho estimó</w:t>
      </w:r>
      <w:r w:rsidR="00545919" w:rsidRPr="00760A2A">
        <w:rPr>
          <w:rFonts w:ascii="Arial" w:hAnsi="Arial" w:cs="Arial"/>
          <w:color w:val="4F81BD" w:themeColor="accent1"/>
        </w:rPr>
        <w:t xml:space="preserve"> conveniente</w:t>
      </w:r>
      <w:r w:rsidR="00A64E84" w:rsidRPr="00760A2A">
        <w:rPr>
          <w:rFonts w:ascii="Arial" w:hAnsi="Arial" w:cs="Arial"/>
          <w:color w:val="4F81BD" w:themeColor="accent1"/>
        </w:rPr>
        <w:t>.</w:t>
      </w:r>
    </w:p>
    <w:p w:rsidR="00547C44" w:rsidRPr="00760A2A" w:rsidRDefault="00547C44" w:rsidP="00FE18F2">
      <w:pPr>
        <w:rPr>
          <w:rFonts w:ascii="Arial" w:hAnsi="Arial" w:cs="Arial"/>
          <w:color w:val="4F81BD" w:themeColor="accent1"/>
        </w:rPr>
      </w:pPr>
      <w:r w:rsidRPr="00760A2A">
        <w:rPr>
          <w:rFonts w:ascii="Arial" w:hAnsi="Arial" w:cs="Arial"/>
          <w:color w:val="4F81BD" w:themeColor="accent1"/>
        </w:rPr>
        <w:tab/>
        <w:t xml:space="preserve">Por lo que toca al </w:t>
      </w:r>
      <w:r w:rsidR="00545919" w:rsidRPr="00760A2A">
        <w:rPr>
          <w:rFonts w:ascii="Arial" w:hAnsi="Arial" w:cs="Arial"/>
          <w:color w:val="4F81BD" w:themeColor="accent1"/>
        </w:rPr>
        <w:t>inconforme</w:t>
      </w:r>
      <w:r w:rsidRPr="00760A2A">
        <w:rPr>
          <w:rFonts w:ascii="Arial" w:hAnsi="Arial" w:cs="Arial"/>
          <w:color w:val="4F81BD" w:themeColor="accent1"/>
        </w:rPr>
        <w:t>, éste no hizo uso de su derecho contenido en el artículo 174, fracción III de la Ley de Transparencia del Estado.</w:t>
      </w:r>
    </w:p>
    <w:p w:rsidR="00547C44" w:rsidRPr="00760A2A" w:rsidRDefault="00547C44" w:rsidP="00547C44">
      <w:pPr>
        <w:spacing w:before="240"/>
        <w:rPr>
          <w:rFonts w:ascii="Arial" w:hAnsi="Arial" w:cs="Arial"/>
          <w:color w:val="4F81BD" w:themeColor="accent1"/>
        </w:rPr>
      </w:pPr>
      <w:r w:rsidRPr="00760A2A">
        <w:rPr>
          <w:rFonts w:ascii="Arial" w:hAnsi="Arial" w:cs="Arial"/>
          <w:color w:val="4F81BD" w:themeColor="accent1"/>
        </w:rPr>
        <w:tab/>
      </w:r>
      <w:r w:rsidR="00720E84" w:rsidRPr="00760A2A">
        <w:rPr>
          <w:rFonts w:ascii="Arial" w:hAnsi="Arial" w:cs="Arial"/>
          <w:b/>
          <w:color w:val="4F81BD" w:themeColor="accent1"/>
        </w:rPr>
        <w:t>SÉ</w:t>
      </w:r>
      <w:r w:rsidRPr="00760A2A">
        <w:rPr>
          <w:rFonts w:ascii="Arial" w:hAnsi="Arial" w:cs="Arial"/>
          <w:b/>
          <w:color w:val="4F81BD" w:themeColor="accent1"/>
        </w:rPr>
        <w:t xml:space="preserve">PTIMO. Cierre de Instrucción. </w:t>
      </w:r>
      <w:r w:rsidR="00EC2F57" w:rsidRPr="00760A2A">
        <w:rPr>
          <w:rFonts w:ascii="Arial" w:hAnsi="Arial" w:cs="Arial"/>
          <w:color w:val="4F81BD" w:themeColor="accent1"/>
        </w:rPr>
        <w:t>El trece de octubre</w:t>
      </w:r>
      <w:r w:rsidR="00720E84" w:rsidRPr="00760A2A">
        <w:rPr>
          <w:rFonts w:ascii="Arial" w:hAnsi="Arial" w:cs="Arial"/>
          <w:color w:val="4F81BD" w:themeColor="accent1"/>
        </w:rPr>
        <w:t xml:space="preserve"> de dos mil diecisiete</w:t>
      </w:r>
      <w:r w:rsidRPr="00760A2A">
        <w:rPr>
          <w:rFonts w:ascii="Arial" w:hAnsi="Arial" w:cs="Arial"/>
          <w:color w:val="4F81BD" w:themeColor="accent1"/>
        </w:rPr>
        <w:t>, se decretó el Cierre de Instrucción del expediente formado con motivo del presente recurso de revisión, a fin de que la ponente presentara el proyecto de resolución correspondiente.</w:t>
      </w:r>
    </w:p>
    <w:p w:rsidR="00547C44" w:rsidRPr="00760A2A" w:rsidRDefault="00547C44" w:rsidP="00547C44">
      <w:pPr>
        <w:spacing w:before="240"/>
        <w:jc w:val="center"/>
        <w:rPr>
          <w:rFonts w:ascii="Arial" w:hAnsi="Arial" w:cs="Arial"/>
          <w:b/>
          <w:color w:val="4F81BD" w:themeColor="accent1"/>
        </w:rPr>
      </w:pPr>
      <w:r w:rsidRPr="00760A2A">
        <w:rPr>
          <w:rFonts w:ascii="Arial" w:hAnsi="Arial" w:cs="Arial"/>
          <w:b/>
          <w:color w:val="4F81BD" w:themeColor="accent1"/>
        </w:rPr>
        <w:t xml:space="preserve">C O N S I D E R A N D O </w:t>
      </w:r>
    </w:p>
    <w:p w:rsidR="0072714A" w:rsidRPr="00760A2A" w:rsidRDefault="00547C44" w:rsidP="00545919">
      <w:pPr>
        <w:pStyle w:val="Textoindependienteprimerasangra"/>
        <w:spacing w:before="240"/>
        <w:ind w:firstLine="900"/>
        <w:rPr>
          <w:rFonts w:ascii="Arial" w:hAnsi="Arial" w:cs="Arial"/>
          <w:color w:val="4F81BD" w:themeColor="accent1"/>
        </w:rPr>
      </w:pPr>
      <w:r w:rsidRPr="00760A2A">
        <w:rPr>
          <w:rFonts w:ascii="Arial" w:eastAsia="Arial Unicode MS" w:hAnsi="Arial" w:cs="Arial"/>
          <w:b/>
          <w:color w:val="4F81BD" w:themeColor="accent1"/>
        </w:rPr>
        <w:t>PRIMERO. Competencia.</w:t>
      </w:r>
      <w:r w:rsidRPr="00760A2A">
        <w:rPr>
          <w:rFonts w:ascii="Arial" w:eastAsia="Arial Unicode MS" w:hAnsi="Arial" w:cs="Arial"/>
          <w:color w:val="4F81BD" w:themeColor="accent1"/>
        </w:rPr>
        <w:t xml:space="preserve"> El Pleno de esta Comisión Estatal de Garantía de Acceso a la Información Pública es competente para resolver el presente recurso de revisión de conformidad con los artículos 6°, apartado A.,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w:t>
      </w:r>
      <w:r w:rsidR="00FA039E" w:rsidRPr="00760A2A">
        <w:rPr>
          <w:rFonts w:ascii="Arial" w:eastAsia="Arial Unicode MS" w:hAnsi="Arial" w:cs="Arial"/>
          <w:color w:val="4F81BD" w:themeColor="accent1"/>
        </w:rPr>
        <w:t xml:space="preserve"> como</w:t>
      </w:r>
      <w:r w:rsidRPr="00760A2A">
        <w:rPr>
          <w:rFonts w:ascii="Arial" w:eastAsia="Arial Unicode MS" w:hAnsi="Arial" w:cs="Arial"/>
          <w:color w:val="4F81BD" w:themeColor="accent1"/>
        </w:rPr>
        <w:t xml:space="preserve"> de los artículos 1, 2, 4 fracción IV, 6 fracciones I y II; 7, 9 y 10 fracción XXVIII del Reglamento Interior de la Comisión Estatal de Garantía de A</w:t>
      </w:r>
      <w:r w:rsidR="007D4729" w:rsidRPr="00760A2A">
        <w:rPr>
          <w:rFonts w:ascii="Arial" w:eastAsia="Arial Unicode MS" w:hAnsi="Arial" w:cs="Arial"/>
          <w:color w:val="4F81BD" w:themeColor="accent1"/>
        </w:rPr>
        <w:t>cceso a la Información Pública</w:t>
      </w:r>
      <w:r w:rsidR="00545919" w:rsidRPr="00760A2A">
        <w:rPr>
          <w:rFonts w:ascii="Arial" w:eastAsia="Arial Unicode MS" w:hAnsi="Arial" w:cs="Arial"/>
          <w:color w:val="4F81BD" w:themeColor="accent1"/>
        </w:rPr>
        <w:t>.</w:t>
      </w:r>
    </w:p>
    <w:p w:rsidR="0072714A" w:rsidRPr="00760A2A" w:rsidRDefault="0072714A" w:rsidP="0072714A">
      <w:pPr>
        <w:pStyle w:val="Textoindependienteprimerasangra"/>
        <w:spacing w:before="240"/>
        <w:ind w:firstLine="900"/>
        <w:rPr>
          <w:rFonts w:ascii="Arial" w:eastAsia="Arial Unicode MS" w:hAnsi="Arial" w:cs="Arial"/>
          <w:color w:val="4F81BD" w:themeColor="accent1"/>
        </w:rPr>
      </w:pPr>
      <w:r w:rsidRPr="00760A2A">
        <w:rPr>
          <w:rFonts w:ascii="Arial" w:eastAsia="Arial Unicode MS" w:hAnsi="Arial" w:cs="Arial"/>
          <w:b/>
          <w:color w:val="4F81BD" w:themeColor="accent1"/>
        </w:rPr>
        <w:t xml:space="preserve">SEGUNDO. Procedibilidad y Oportunidad. </w:t>
      </w:r>
      <w:r w:rsidRPr="00760A2A">
        <w:rPr>
          <w:rFonts w:ascii="Arial" w:eastAsia="Arial Unicode MS" w:hAnsi="Arial" w:cs="Arial"/>
          <w:color w:val="4F81BD" w:themeColor="accent1"/>
        </w:rPr>
        <w:t>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72714A" w:rsidRPr="00760A2A" w:rsidRDefault="00B20914" w:rsidP="0072714A">
      <w:pPr>
        <w:pStyle w:val="Textoindependienteprimerasangra"/>
        <w:spacing w:before="240"/>
        <w:ind w:firstLine="900"/>
        <w:rPr>
          <w:rFonts w:ascii="Arial" w:eastAsia="Arial Unicode MS" w:hAnsi="Arial" w:cs="Arial"/>
          <w:color w:val="4F81BD" w:themeColor="accent1"/>
        </w:rPr>
      </w:pPr>
      <w:r w:rsidRPr="00760A2A">
        <w:rPr>
          <w:rFonts w:ascii="Arial" w:eastAsia="Arial Unicode MS" w:hAnsi="Arial" w:cs="Arial"/>
          <w:color w:val="4F81BD" w:themeColor="accent1"/>
        </w:rPr>
        <w:t>Ahora bien, e</w:t>
      </w:r>
      <w:r w:rsidR="0072714A" w:rsidRPr="00760A2A">
        <w:rPr>
          <w:rFonts w:ascii="Arial" w:eastAsia="Arial Unicode MS" w:hAnsi="Arial" w:cs="Arial"/>
          <w:color w:val="4F81BD" w:themeColor="accent1"/>
        </w:rPr>
        <w:t xml:space="preserve">l recurso de revisión fue interpuesto dentro del plazo de quince días hábiles previsto en el artículo 166 de la Ley de </w:t>
      </w:r>
      <w:r w:rsidR="0072714A" w:rsidRPr="00760A2A">
        <w:rPr>
          <w:rFonts w:ascii="Arial" w:eastAsia="Arial Unicode MS" w:hAnsi="Arial" w:cs="Arial"/>
          <w:color w:val="4F81BD" w:themeColor="accent1"/>
        </w:rPr>
        <w:lastRenderedPageBreak/>
        <w:t>Transparencia del Estado, toda vez que el</w:t>
      </w:r>
      <w:r w:rsidRPr="00760A2A">
        <w:rPr>
          <w:rFonts w:ascii="Arial" w:eastAsia="Arial Unicode MS" w:hAnsi="Arial" w:cs="Arial"/>
          <w:color w:val="4F81BD" w:themeColor="accent1"/>
        </w:rPr>
        <w:t xml:space="preserve"> particular al presentar su solicitud de información en </w:t>
      </w:r>
      <w:r w:rsidRPr="00760A2A">
        <w:rPr>
          <w:rFonts w:ascii="Arial" w:eastAsia="Arial Unicode MS" w:hAnsi="Arial" w:cs="Arial"/>
          <w:b/>
          <w:color w:val="4F81BD" w:themeColor="accent1"/>
        </w:rPr>
        <w:t>veintinueve de junio de dos mil diecisiete</w:t>
      </w:r>
      <w:r w:rsidRPr="00760A2A">
        <w:rPr>
          <w:rFonts w:ascii="Arial" w:eastAsia="Arial Unicode MS" w:hAnsi="Arial" w:cs="Arial"/>
          <w:color w:val="4F81BD" w:themeColor="accent1"/>
        </w:rPr>
        <w:t>, el término de diez días para emitir una respuesta al particular que refiere el numeral 154 de la Ley de Transparencia Local, empezó a computarse</w:t>
      </w:r>
      <w:r w:rsidR="0072714A" w:rsidRPr="00760A2A">
        <w:rPr>
          <w:rFonts w:ascii="Arial" w:eastAsia="Arial Unicode MS" w:hAnsi="Arial" w:cs="Arial"/>
          <w:color w:val="4F81BD" w:themeColor="accent1"/>
        </w:rPr>
        <w:t xml:space="preserve"> </w:t>
      </w:r>
      <w:r w:rsidRPr="00760A2A">
        <w:rPr>
          <w:rFonts w:ascii="Arial" w:eastAsia="Arial Unicode MS" w:hAnsi="Arial" w:cs="Arial"/>
          <w:color w:val="4F81BD" w:themeColor="accent1"/>
        </w:rPr>
        <w:t xml:space="preserve">al día siguiente hábil de la presentación de aquella, es decir el treinta y uno de julio de dos mil diecisiete y </w:t>
      </w:r>
      <w:r w:rsidRPr="00760A2A">
        <w:rPr>
          <w:rFonts w:ascii="Arial" w:eastAsia="Arial Unicode MS" w:hAnsi="Arial" w:cs="Arial"/>
          <w:b/>
          <w:color w:val="4F81BD" w:themeColor="accent1"/>
        </w:rPr>
        <w:t>feneció el once de agosto del año</w:t>
      </w:r>
      <w:r w:rsidRPr="00760A2A">
        <w:rPr>
          <w:rFonts w:ascii="Arial" w:eastAsia="Arial Unicode MS" w:hAnsi="Arial" w:cs="Arial"/>
          <w:color w:val="4F81BD" w:themeColor="accent1"/>
        </w:rPr>
        <w:t xml:space="preserve"> </w:t>
      </w:r>
      <w:r w:rsidRPr="00760A2A">
        <w:rPr>
          <w:rFonts w:ascii="Arial" w:eastAsia="Arial Unicode MS" w:hAnsi="Arial" w:cs="Arial"/>
          <w:b/>
          <w:color w:val="4F81BD" w:themeColor="accent1"/>
        </w:rPr>
        <w:t>en curso;</w:t>
      </w:r>
      <w:r w:rsidRPr="00760A2A">
        <w:rPr>
          <w:rFonts w:ascii="Arial" w:eastAsia="Arial Unicode MS" w:hAnsi="Arial" w:cs="Arial"/>
          <w:color w:val="4F81BD" w:themeColor="accent1"/>
        </w:rPr>
        <w:t xml:space="preserve"> de ahí que el plazo para la interposición para el presente recurso, empezó a computarse en catorce de agosto y se integró a su vez por los días quince, dieciséis, diecisiete, dieciocho, veintiuno, veintidós, veintitrés, veinticuatro, veinticinco, veintiocho, veintinueve, treinta, treinta y uno de agosto, así como el primero y dos de septiembre; todos ellos de dos mil diecisiete</w:t>
      </w:r>
      <w:r w:rsidR="0070560A" w:rsidRPr="00760A2A">
        <w:rPr>
          <w:rFonts w:ascii="Arial" w:eastAsia="Arial Unicode MS" w:hAnsi="Arial" w:cs="Arial"/>
          <w:color w:val="4F81BD" w:themeColor="accent1"/>
        </w:rPr>
        <w:t xml:space="preserve">; </w:t>
      </w:r>
      <w:r w:rsidR="0072714A" w:rsidRPr="00760A2A">
        <w:rPr>
          <w:rFonts w:ascii="Arial" w:hAnsi="Arial" w:cs="Arial"/>
          <w:color w:val="4F81BD" w:themeColor="accent1"/>
          <w:lang w:val="es-MX"/>
        </w:rPr>
        <w:t xml:space="preserve">resulta entonces que al </w:t>
      </w:r>
      <w:r w:rsidR="00FA53E9" w:rsidRPr="00760A2A">
        <w:rPr>
          <w:rFonts w:ascii="Arial" w:hAnsi="Arial" w:cs="Arial"/>
          <w:color w:val="4F81BD" w:themeColor="accent1"/>
          <w:lang w:val="es-MX"/>
        </w:rPr>
        <w:t>interponer</w:t>
      </w:r>
      <w:r w:rsidR="0072714A" w:rsidRPr="00760A2A">
        <w:rPr>
          <w:rFonts w:ascii="Arial" w:hAnsi="Arial" w:cs="Arial"/>
          <w:color w:val="4F81BD" w:themeColor="accent1"/>
          <w:lang w:val="es-MX"/>
        </w:rPr>
        <w:t xml:space="preserve"> el presente medio de defensa el </w:t>
      </w:r>
      <w:r w:rsidR="0070560A" w:rsidRPr="00760A2A">
        <w:rPr>
          <w:rFonts w:ascii="Arial" w:hAnsi="Arial" w:cs="Arial"/>
          <w:b/>
          <w:color w:val="4F81BD" w:themeColor="accent1"/>
          <w:lang w:val="es-MX"/>
        </w:rPr>
        <w:t>treinta y uno</w:t>
      </w:r>
      <w:r w:rsidR="00FA53E9" w:rsidRPr="00760A2A">
        <w:rPr>
          <w:rFonts w:ascii="Arial" w:hAnsi="Arial" w:cs="Arial"/>
          <w:b/>
          <w:color w:val="4F81BD" w:themeColor="accent1"/>
          <w:lang w:val="es-MX"/>
        </w:rPr>
        <w:t xml:space="preserve"> de agosto</w:t>
      </w:r>
      <w:r w:rsidR="00BD7827" w:rsidRPr="00760A2A">
        <w:rPr>
          <w:rFonts w:ascii="Arial" w:hAnsi="Arial" w:cs="Arial"/>
          <w:b/>
          <w:color w:val="4F81BD" w:themeColor="accent1"/>
          <w:lang w:val="es-MX"/>
        </w:rPr>
        <w:t xml:space="preserve"> </w:t>
      </w:r>
      <w:r w:rsidR="00720E84" w:rsidRPr="00760A2A">
        <w:rPr>
          <w:rFonts w:ascii="Arial" w:hAnsi="Arial" w:cs="Arial"/>
          <w:b/>
          <w:color w:val="4F81BD" w:themeColor="accent1"/>
          <w:lang w:val="es-MX"/>
        </w:rPr>
        <w:t>de dos mil diecisiete</w:t>
      </w:r>
      <w:r w:rsidR="0072714A" w:rsidRPr="00760A2A">
        <w:rPr>
          <w:rFonts w:ascii="Arial" w:hAnsi="Arial" w:cs="Arial"/>
          <w:color w:val="4F81BD" w:themeColor="accent1"/>
          <w:lang w:val="es-MX"/>
        </w:rPr>
        <w:t>,</w:t>
      </w:r>
      <w:r w:rsidR="00720E84" w:rsidRPr="00760A2A">
        <w:rPr>
          <w:rFonts w:ascii="Arial" w:hAnsi="Arial" w:cs="Arial"/>
          <w:color w:val="4F81BD" w:themeColor="accent1"/>
          <w:lang w:val="es-MX"/>
        </w:rPr>
        <w:t xml:space="preserve"> se hizo valer el </w:t>
      </w:r>
      <w:r w:rsidR="0070560A" w:rsidRPr="00760A2A">
        <w:rPr>
          <w:rFonts w:ascii="Arial" w:hAnsi="Arial" w:cs="Arial"/>
          <w:b/>
          <w:color w:val="4F81BD" w:themeColor="accent1"/>
          <w:lang w:val="es-MX"/>
        </w:rPr>
        <w:t>décimo tercer</w:t>
      </w:r>
      <w:r w:rsidR="004026B8" w:rsidRPr="00760A2A">
        <w:rPr>
          <w:rFonts w:ascii="Arial" w:hAnsi="Arial" w:cs="Arial"/>
          <w:color w:val="4F81BD" w:themeColor="accent1"/>
          <w:lang w:val="es-MX"/>
        </w:rPr>
        <w:t xml:space="preserve"> </w:t>
      </w:r>
      <w:r w:rsidR="004026B8" w:rsidRPr="00760A2A">
        <w:rPr>
          <w:rFonts w:ascii="Arial" w:hAnsi="Arial" w:cs="Arial"/>
          <w:b/>
          <w:color w:val="4F81BD" w:themeColor="accent1"/>
          <w:lang w:val="es-MX"/>
        </w:rPr>
        <w:t xml:space="preserve">día </w:t>
      </w:r>
      <w:r w:rsidR="004026B8" w:rsidRPr="00760A2A">
        <w:rPr>
          <w:rFonts w:ascii="Arial" w:hAnsi="Arial" w:cs="Arial"/>
          <w:color w:val="4F81BD" w:themeColor="accent1"/>
          <w:lang w:val="es-MX"/>
        </w:rPr>
        <w:t>del plazo con que contaba el recurrente</w:t>
      </w:r>
      <w:r w:rsidR="00720E84" w:rsidRPr="00760A2A">
        <w:rPr>
          <w:rFonts w:ascii="Arial" w:hAnsi="Arial" w:cs="Arial"/>
          <w:color w:val="4F81BD" w:themeColor="accent1"/>
          <w:lang w:val="es-MX"/>
        </w:rPr>
        <w:t>, y por ello</w:t>
      </w:r>
      <w:r w:rsidR="0072714A" w:rsidRPr="00760A2A">
        <w:rPr>
          <w:rFonts w:ascii="Arial" w:hAnsi="Arial" w:cs="Arial"/>
          <w:color w:val="4F81BD" w:themeColor="accent1"/>
          <w:lang w:val="es-MX"/>
        </w:rPr>
        <w:t xml:space="preserve"> su interposición es acorde a lo dispuesto por el numeral 166 de la Ley de Transparencia del Estado, por lo que se concluye que se encuentra dentro de los márgenes temporales previstos en el citado precepto legal.</w:t>
      </w:r>
    </w:p>
    <w:p w:rsidR="0072714A" w:rsidRPr="00760A2A" w:rsidRDefault="0072714A" w:rsidP="0072714A">
      <w:pPr>
        <w:pStyle w:val="Textoindependienteprimerasangra"/>
        <w:spacing w:before="240"/>
        <w:ind w:firstLine="900"/>
        <w:rPr>
          <w:rFonts w:ascii="Arial" w:hAnsi="Arial" w:cs="Arial"/>
          <w:color w:val="4F81BD" w:themeColor="accent1"/>
          <w:lang w:val="es-MX"/>
        </w:rPr>
      </w:pPr>
      <w:r w:rsidRPr="00760A2A">
        <w:rPr>
          <w:rFonts w:ascii="Arial" w:hAnsi="Arial" w:cs="Arial"/>
          <w:color w:val="4F81BD" w:themeColor="accent1"/>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577733" w:rsidRPr="00760A2A" w:rsidRDefault="00577733" w:rsidP="00577733">
      <w:pPr>
        <w:pStyle w:val="Textoindependienteprimerasangra"/>
        <w:spacing w:before="240"/>
        <w:ind w:firstLine="900"/>
        <w:rPr>
          <w:rFonts w:ascii="Arial" w:hAnsi="Arial" w:cs="Arial"/>
          <w:color w:val="4F81BD" w:themeColor="accent1"/>
          <w:szCs w:val="26"/>
          <w:lang w:val="es-MX"/>
        </w:rPr>
      </w:pPr>
      <w:r w:rsidRPr="00760A2A">
        <w:rPr>
          <w:rFonts w:ascii="Arial" w:hAnsi="Arial" w:cs="Arial"/>
          <w:b/>
          <w:color w:val="4F81BD" w:themeColor="accent1"/>
          <w:szCs w:val="26"/>
          <w:lang w:val="es-MX"/>
        </w:rPr>
        <w:t xml:space="preserve">TERCERO. Estudio y resolución del asunto. </w:t>
      </w:r>
      <w:r w:rsidRPr="00760A2A">
        <w:rPr>
          <w:rFonts w:ascii="Arial" w:hAnsi="Arial" w:cs="Arial"/>
          <w:color w:val="4F81BD" w:themeColor="accent1"/>
          <w:szCs w:val="26"/>
          <w:lang w:val="es-MX"/>
        </w:rPr>
        <w:t xml:space="preserve">Esta Comisión procede, con fundamento en el artículo 144, de la Ley General de Transparencia y Acceso a la Información Pública, al estudio de la inconformidad planteada por el hoy recurrente, la cual encuadra en los extremos del artículo 167, fracción </w:t>
      </w:r>
      <w:r w:rsidR="0014725B" w:rsidRPr="00760A2A">
        <w:rPr>
          <w:rFonts w:ascii="Arial" w:hAnsi="Arial" w:cs="Arial"/>
          <w:color w:val="4F81BD" w:themeColor="accent1"/>
          <w:szCs w:val="26"/>
          <w:lang w:val="es-MX"/>
        </w:rPr>
        <w:t>V</w:t>
      </w:r>
      <w:r w:rsidR="0070560A" w:rsidRPr="00760A2A">
        <w:rPr>
          <w:rFonts w:ascii="Arial" w:hAnsi="Arial" w:cs="Arial"/>
          <w:color w:val="4F81BD" w:themeColor="accent1"/>
          <w:szCs w:val="26"/>
          <w:lang w:val="es-MX"/>
        </w:rPr>
        <w:t>I</w:t>
      </w:r>
      <w:r w:rsidR="00FA53E9" w:rsidRPr="00760A2A">
        <w:rPr>
          <w:rFonts w:ascii="Arial" w:hAnsi="Arial" w:cs="Arial"/>
          <w:color w:val="4F81BD" w:themeColor="accent1"/>
          <w:szCs w:val="26"/>
          <w:lang w:val="es-MX"/>
        </w:rPr>
        <w:t xml:space="preserve"> </w:t>
      </w:r>
      <w:r w:rsidRPr="00760A2A">
        <w:rPr>
          <w:rFonts w:ascii="Arial" w:hAnsi="Arial" w:cs="Arial"/>
          <w:color w:val="4F81BD" w:themeColor="accent1"/>
          <w:szCs w:val="26"/>
          <w:lang w:val="es-MX"/>
        </w:rPr>
        <w:t>de la Ley de Transparencia y Acceso a la Información Pública del Estado de San Luis Potosí.</w:t>
      </w:r>
    </w:p>
    <w:p w:rsidR="00DF6031" w:rsidRPr="00760A2A" w:rsidRDefault="0070560A" w:rsidP="00DF6031">
      <w:pPr>
        <w:pStyle w:val="NormalWeb"/>
        <w:spacing w:before="0" w:beforeAutospacing="0" w:after="0" w:afterAutospacing="0" w:line="360" w:lineRule="auto"/>
        <w:ind w:firstLine="709"/>
        <w:jc w:val="both"/>
        <w:rPr>
          <w:rFonts w:ascii="Arial" w:eastAsia="Arial Unicode MS" w:hAnsi="Arial" w:cs="Arial"/>
          <w:color w:val="4F81BD" w:themeColor="accent1"/>
          <w:sz w:val="26"/>
          <w:szCs w:val="26"/>
        </w:rPr>
      </w:pPr>
      <w:r w:rsidRPr="00760A2A">
        <w:rPr>
          <w:rFonts w:ascii="Arial" w:hAnsi="Arial" w:cs="Arial"/>
          <w:bCs/>
          <w:iCs/>
          <w:color w:val="4F81BD" w:themeColor="accent1"/>
          <w:sz w:val="26"/>
          <w:szCs w:val="26"/>
          <w:lang w:val="es-MX"/>
        </w:rPr>
        <w:t xml:space="preserve">Son </w:t>
      </w:r>
      <w:r w:rsidR="00620CBC" w:rsidRPr="00760A2A">
        <w:rPr>
          <w:rFonts w:ascii="Arial" w:hAnsi="Arial" w:cs="Arial"/>
          <w:bCs/>
          <w:iCs/>
          <w:color w:val="4F81BD" w:themeColor="accent1"/>
          <w:sz w:val="26"/>
          <w:szCs w:val="26"/>
          <w:lang w:val="es-MX"/>
        </w:rPr>
        <w:t xml:space="preserve">fundados para revocar, la respuesta otorgada por el sujeto obligado, </w:t>
      </w:r>
      <w:r w:rsidRPr="00760A2A">
        <w:rPr>
          <w:rFonts w:ascii="Arial" w:hAnsi="Arial" w:cs="Arial"/>
          <w:bCs/>
          <w:iCs/>
          <w:color w:val="4F81BD" w:themeColor="accent1"/>
          <w:sz w:val="26"/>
          <w:szCs w:val="26"/>
          <w:lang w:val="es-MX"/>
        </w:rPr>
        <w:t xml:space="preserve">mismos que se suplen en sus deficiencias conforme lo establecido por el artículo 14 de la Ley de Transparencia y Acceso a la Información Pública del Estados, </w:t>
      </w:r>
      <w:r w:rsidR="00620CBC" w:rsidRPr="00760A2A">
        <w:rPr>
          <w:rFonts w:ascii="Arial" w:hAnsi="Arial" w:cs="Arial"/>
          <w:bCs/>
          <w:iCs/>
          <w:color w:val="4F81BD" w:themeColor="accent1"/>
          <w:sz w:val="26"/>
          <w:szCs w:val="26"/>
          <w:lang w:val="es-MX"/>
        </w:rPr>
        <w:t>los cuales se examinan</w:t>
      </w:r>
      <w:r w:rsidR="00620CBC" w:rsidRPr="00760A2A">
        <w:rPr>
          <w:rFonts w:ascii="Arial" w:hAnsi="Arial" w:cs="Arial"/>
          <w:color w:val="4F81BD" w:themeColor="accent1"/>
          <w:sz w:val="26"/>
          <w:szCs w:val="26"/>
          <w:lang w:val="es-ES_tradnl"/>
        </w:rPr>
        <w:t xml:space="preserve"> de manera </w:t>
      </w:r>
      <w:r w:rsidR="00620CBC" w:rsidRPr="00760A2A">
        <w:rPr>
          <w:rFonts w:ascii="Arial" w:hAnsi="Arial" w:cs="Arial"/>
          <w:color w:val="4F81BD" w:themeColor="accent1"/>
          <w:sz w:val="26"/>
          <w:szCs w:val="26"/>
          <w:lang w:val="es-ES_tradnl"/>
        </w:rPr>
        <w:lastRenderedPageBreak/>
        <w:t>conjunta, por estar relacionados entre sí;</w:t>
      </w:r>
      <w:r w:rsidR="00620CBC" w:rsidRPr="00760A2A">
        <w:rPr>
          <w:rFonts w:ascii="Arial" w:eastAsia="Arial Unicode MS" w:hAnsi="Arial" w:cs="Arial"/>
          <w:color w:val="4F81BD" w:themeColor="accent1"/>
          <w:sz w:val="26"/>
          <w:szCs w:val="26"/>
        </w:rPr>
        <w:t xml:space="preserve"> cuyo análisis se efectúa en los términos que a continuación se indican. </w:t>
      </w:r>
    </w:p>
    <w:p w:rsidR="00DF6031" w:rsidRPr="00760A2A" w:rsidRDefault="00620CBC" w:rsidP="00DF6031">
      <w:pPr>
        <w:pStyle w:val="NormalWeb"/>
        <w:spacing w:before="0" w:beforeAutospacing="0" w:after="0" w:afterAutospacing="0" w:line="360" w:lineRule="auto"/>
        <w:ind w:firstLine="709"/>
        <w:jc w:val="both"/>
        <w:rPr>
          <w:rFonts w:ascii="Arial" w:hAnsi="Arial" w:cs="Arial"/>
          <w:bCs/>
          <w:iCs/>
          <w:color w:val="4F81BD" w:themeColor="accent1"/>
          <w:sz w:val="26"/>
          <w:szCs w:val="26"/>
        </w:rPr>
      </w:pPr>
      <w:r w:rsidRPr="00760A2A">
        <w:rPr>
          <w:rFonts w:ascii="Arial" w:hAnsi="Arial" w:cs="Arial"/>
          <w:bCs/>
          <w:color w:val="4F81BD" w:themeColor="accent1"/>
          <w:sz w:val="26"/>
          <w:szCs w:val="26"/>
        </w:rPr>
        <w:t xml:space="preserve">Con el fin de evidenciar el anotado calificativo, </w:t>
      </w:r>
      <w:r w:rsidRPr="00760A2A">
        <w:rPr>
          <w:rFonts w:ascii="Arial" w:hAnsi="Arial" w:cs="Arial"/>
          <w:bCs/>
          <w:iCs/>
          <w:color w:val="4F81BD" w:themeColor="accent1"/>
          <w:sz w:val="26"/>
          <w:szCs w:val="26"/>
        </w:rPr>
        <w:t>se estima pertinente efectuar las siguientes puntualizaciones del asunto.</w:t>
      </w:r>
    </w:p>
    <w:p w:rsidR="00DF6031" w:rsidRPr="00760A2A" w:rsidRDefault="0014725B" w:rsidP="00DF6031">
      <w:pPr>
        <w:pStyle w:val="NormalWeb"/>
        <w:spacing w:before="0" w:beforeAutospacing="0" w:after="0" w:afterAutospacing="0" w:line="360" w:lineRule="auto"/>
        <w:ind w:firstLine="709"/>
        <w:jc w:val="both"/>
        <w:rPr>
          <w:rFonts w:ascii="Arial" w:hAnsi="Arial" w:cs="Arial"/>
          <w:color w:val="4F81BD" w:themeColor="accent1"/>
          <w:sz w:val="26"/>
          <w:szCs w:val="26"/>
          <w:lang w:val="es-MX"/>
        </w:rPr>
      </w:pPr>
      <w:r w:rsidRPr="00760A2A">
        <w:rPr>
          <w:rFonts w:ascii="Arial" w:hAnsi="Arial" w:cs="Arial"/>
          <w:color w:val="4F81BD" w:themeColor="accent1"/>
          <w:sz w:val="26"/>
          <w:szCs w:val="26"/>
          <w:lang w:val="es-MX"/>
        </w:rPr>
        <w:t>En estudio de las constancias que integran el presente asunto, esta Comisión estima que resulta fundada la inconformidad planteada, en razón de las siguientes precisiones:</w:t>
      </w:r>
    </w:p>
    <w:p w:rsidR="00DF6031" w:rsidRPr="00760A2A" w:rsidRDefault="0014725B" w:rsidP="00DF6031">
      <w:pPr>
        <w:pStyle w:val="NormalWeb"/>
        <w:spacing w:before="0" w:beforeAutospacing="0" w:after="0" w:afterAutospacing="0" w:line="360" w:lineRule="auto"/>
        <w:ind w:firstLine="709"/>
        <w:jc w:val="both"/>
        <w:rPr>
          <w:rFonts w:ascii="Arial" w:hAnsi="Arial" w:cs="Arial"/>
          <w:color w:val="4F81BD" w:themeColor="accent1"/>
          <w:sz w:val="26"/>
          <w:szCs w:val="26"/>
          <w:lang w:val="es-MX"/>
        </w:rPr>
      </w:pPr>
      <w:r w:rsidRPr="00760A2A">
        <w:rPr>
          <w:rFonts w:ascii="Arial" w:hAnsi="Arial" w:cs="Arial"/>
          <w:color w:val="4F81BD" w:themeColor="accent1"/>
          <w:sz w:val="26"/>
          <w:szCs w:val="26"/>
          <w:lang w:val="es-MX"/>
        </w:rPr>
        <w:t>De conformidad con el contenido del artículo 154 de la Ley de Transparencia y Acceso a la Información Pública del Estado, el sujeto obligado cuenta con un plazo ordinario de 10 diez días hábiles para dar respuesta a las solicitudes de información que se presenten, el cual podrá ser ampliado cuando exista causa justificada para ello.</w:t>
      </w:r>
    </w:p>
    <w:p w:rsidR="00DF6031" w:rsidRPr="00760A2A" w:rsidRDefault="00DF6031" w:rsidP="00DF6031">
      <w:pPr>
        <w:pStyle w:val="NormalWeb"/>
        <w:spacing w:before="0" w:beforeAutospacing="0" w:after="0" w:afterAutospacing="0" w:line="360" w:lineRule="auto"/>
        <w:ind w:firstLine="709"/>
        <w:jc w:val="both"/>
        <w:rPr>
          <w:rFonts w:ascii="Arial" w:eastAsia="Arial Unicode MS" w:hAnsi="Arial" w:cs="Arial"/>
          <w:color w:val="4F81BD" w:themeColor="accent1"/>
          <w:sz w:val="26"/>
          <w:szCs w:val="26"/>
        </w:rPr>
      </w:pPr>
      <w:r w:rsidRPr="00760A2A">
        <w:rPr>
          <w:rFonts w:ascii="Arial" w:eastAsia="Arial Unicode MS" w:hAnsi="Arial" w:cs="Arial"/>
          <w:color w:val="4F81BD" w:themeColor="accent1"/>
          <w:sz w:val="26"/>
          <w:szCs w:val="26"/>
        </w:rPr>
        <w:t xml:space="preserve">Previo a emitir un pronunciamiento acerca de si el recurso fue interpuesto dentro de los términos que la Ley de la materia establece, es menester precisar que del escrito de solicitud de información se evidencia que la petitoria fue presentada en veintinueve de junio de de dos mil diecisiete (Foja 02), ante el Instituto Tecnológico de Matehuala; asimismo la aquí inconforme señaló en su escrito de inconformidad que a la fecha de la presentación de la solicitud de información, fue el último día laborable de la referida institución; ante esta circunstancia no </w:t>
      </w:r>
      <w:r w:rsidRPr="00760A2A">
        <w:rPr>
          <w:rFonts w:ascii="Arial" w:hAnsi="Arial" w:cs="Arial"/>
          <w:color w:val="4F81BD" w:themeColor="accent1"/>
          <w:sz w:val="26"/>
          <w:szCs w:val="26"/>
          <w:lang w:val="es-MX"/>
        </w:rPr>
        <w:t>obsta que el sujeto obligado haya realizado manifestación alguna por la que se advierta que las manifestaciones del particular resultan erróneas o equivocadas, sino que por el contrario, esta Comisión infiere que el Sujeto Obligado, expresa su consentimiento tácito al respecto, en este punto en cuestión.</w:t>
      </w:r>
    </w:p>
    <w:p w:rsidR="00DF6031" w:rsidRPr="00760A2A" w:rsidRDefault="00DF6031" w:rsidP="00DF6031">
      <w:pPr>
        <w:pStyle w:val="Textoindependienteprimerasangra"/>
        <w:spacing w:before="240"/>
        <w:ind w:firstLine="900"/>
        <w:rPr>
          <w:rFonts w:ascii="Arial" w:hAnsi="Arial" w:cs="Arial"/>
          <w:color w:val="4F81BD" w:themeColor="accent1"/>
          <w:lang w:val="es-MX"/>
        </w:rPr>
      </w:pPr>
      <w:r w:rsidRPr="00760A2A">
        <w:rPr>
          <w:rFonts w:ascii="Arial" w:hAnsi="Arial" w:cs="Arial"/>
          <w:color w:val="4F81BD" w:themeColor="accent1"/>
          <w:lang w:val="es-MX"/>
        </w:rPr>
        <w:t>Lo anterior encuentra su sustento en la Tesis emitida por la que fue Sala Auxiliar de la Suprema Corte de Justicia de la Nación, que establece:</w:t>
      </w:r>
    </w:p>
    <w:p w:rsidR="00DF6031" w:rsidRPr="00760A2A" w:rsidRDefault="00DF6031" w:rsidP="00DF6031">
      <w:pPr>
        <w:pStyle w:val="Textoindependienteprimerasangra"/>
        <w:spacing w:before="240" w:line="240" w:lineRule="auto"/>
        <w:ind w:firstLine="0"/>
        <w:rPr>
          <w:rFonts w:ascii="Arial" w:hAnsi="Arial" w:cs="Arial"/>
          <w:color w:val="4F81BD" w:themeColor="accent1"/>
          <w:sz w:val="22"/>
          <w:szCs w:val="22"/>
          <w:lang w:val="es-MX"/>
        </w:rPr>
      </w:pPr>
      <w:r w:rsidRPr="00760A2A">
        <w:rPr>
          <w:rFonts w:ascii="Arial" w:hAnsi="Arial" w:cs="Arial"/>
          <w:b/>
          <w:i/>
          <w:color w:val="4F81BD" w:themeColor="accent1"/>
          <w:sz w:val="22"/>
          <w:szCs w:val="22"/>
        </w:rPr>
        <w:tab/>
        <w:t xml:space="preserve">“ACTOS CONSENTIDOS, NATURALEZA DEL CONSENTIMIENTO EN LOS. </w:t>
      </w:r>
      <w:r w:rsidRPr="00760A2A">
        <w:rPr>
          <w:rFonts w:ascii="Arial" w:hAnsi="Arial" w:cs="Arial"/>
          <w:i/>
          <w:color w:val="4F81BD" w:themeColor="accent1"/>
          <w:sz w:val="22"/>
          <w:szCs w:val="22"/>
        </w:rPr>
        <w:t xml:space="preserve">No es cierto que el concepto de consentimiento definido por el artículo 1803 del Código Civil Federal, sea el que pueda servir para determinar cuando un acto ha sido consentido expresa o tácitamente, para fines del sobreseimiento, así se esté ante un criterio comparativo por algún autor sobre la materia. Y no debe ni puede privar ese concepto civilista, porque además de que en él campea un sentido que rige para el </w:t>
      </w:r>
      <w:r w:rsidRPr="00760A2A">
        <w:rPr>
          <w:rFonts w:ascii="Arial" w:hAnsi="Arial" w:cs="Arial"/>
          <w:i/>
          <w:color w:val="4F81BD" w:themeColor="accent1"/>
          <w:sz w:val="22"/>
          <w:szCs w:val="22"/>
        </w:rPr>
        <w:lastRenderedPageBreak/>
        <w:t>derecho privado, tan ajeno a la teoría del amparo, hay en la especie norma expresa al respecto en la ley reglamentaria del juicio de garantías, que hace inaplicables criterios ajenos o diversos al contenido directamente en la ley que debe regular y determinar la noción del consentimiento en cuanto a la improcedencia de la acción constitucional de amparo (artículo 73, fracciones XI y XII). La improcedencia del amparo es una cuestión que no fue acogida, en sus albores, por las leyes reglamentarias del juicio constitucional. No la consagra, para nada, la ley del 30 de noviembre de 1861, primigenia, en un orden cronológico, como tampoco contiene causales de improcedencia la Ley Orgánica Constitucional del 20 de enero de 1869 que sí menciona el sobreseimiento del amparo, aunque como causa de responsabilidad. En cambio, la Ley Orgánica de los Artículos 101 y 102 de la Constitución Federal de 1857, datada el 14 de diciembre de 1882, sí trata la materia del sobreseimiento en su artículo 35, al prescribir en la fracción VI del mismo artículo 35, que se sobreseerá el amparo, cualquiera que sea el estado del juicio, cuando el acto hubiere sido consentido y no versare sobre materia criminal. No define, esa ley de 1882, en qué estriba ese consentimiento y otro tanto harán los artículos 702 y 779 del Código de Procedimientos Federales del 6 de octubre de 1897 y del Código Federal de Procedimientos Civiles del 26 de diciembre de 1908 que se concretan, al través de su fracción V, a consignar que el juicio de amparo es improcedente contra actos consentidos, siempre que éstos no importen una pena corporal o algún acto de los prohibidos por el artículo 22 de aquella Constitución de 1857. La doctrina del acto consentido es elaborada por la ley del señor presidente Carranza, la del 18 de octubre de 1919, que sí contempla la improcedencia del amparo en ese aspecto y, por ende, define qué se entiende por consentido un acto contra el que no se haya interpuesto amparo dentro de los quince días siguientes al en que se haya hecho saber al interesado, a no ser que la ley conceda expresamente término mayor para hacerlo valer (artículo 43, fracción V). La ley del señor presidente Cárdenas, esto es, la promulgada el 30 de diciembre de 1935, complementa esta doctrina cuando en las fracciones XI y XII de su artículo 73 desenvuelve, cabalmente, la teoría de la improcedencia del juicio constitucional, en punto a actos consentidos expresamente o por manifestaciones de voluntad que entrañen ese consentimiento (artículo 73, fracción XI), habiendo consentimiento tácito, si el juicio de garantías no se promueve dentro de los términos señalados por los artículos 21 y 22 de la ley en cuestión (artículo 73, fracción XII). La integración de esta doctrina del consentimiento de los actos reclamados, en el juicio de garantías, conduce a formular estas nítidas proposiciones: 1) Hay consentimiento expreso del acto reclamado, cuando directamente se exterioriza que se está de acuerdo o conforme con dicho acto; 2) Hay consentimiento expreso, también, del acto reclamado, cuando media una manifestación de voluntad que entrañe ese consentimiento; y 3) Hay consentimiento tácito del acto reclamado cuando el juicio de amparo deja de promoverse dentro de los términos que señalan los artículos 21 y 22 de su ley reglamentaria”.</w:t>
      </w:r>
    </w:p>
    <w:p w:rsidR="00DF6031" w:rsidRPr="00760A2A" w:rsidRDefault="00DF6031" w:rsidP="00DF6031">
      <w:pPr>
        <w:spacing w:before="240"/>
        <w:rPr>
          <w:rFonts w:ascii="Arial" w:hAnsi="Arial" w:cs="Arial"/>
          <w:color w:val="4F81BD" w:themeColor="accent1"/>
          <w:lang w:val="es-MX"/>
        </w:rPr>
      </w:pPr>
      <w:r w:rsidRPr="00760A2A">
        <w:rPr>
          <w:rFonts w:ascii="Arial" w:hAnsi="Arial" w:cs="Arial"/>
          <w:color w:val="4F81BD" w:themeColor="accent1"/>
        </w:rPr>
        <w:tab/>
        <w:t xml:space="preserve">Atento al contenido del criterio anterior, esta Comisión se adhiere al mismo, en virtud de que en el caso concreto se actualiza la tercera de las proposiciones señalada por el cuerpo de la tesis, es decir,  existe un consentimiento expreso respecto de los plazos que señaló la particular en el presente asunto que se examina, por el cual se duele de la falta de respuesta de la autoridad. </w:t>
      </w:r>
    </w:p>
    <w:p w:rsidR="00DF6031" w:rsidRPr="00760A2A" w:rsidRDefault="00DF6031" w:rsidP="00DF6031">
      <w:pPr>
        <w:pStyle w:val="Textoindependienteprimerasangra"/>
        <w:spacing w:before="240"/>
        <w:ind w:firstLine="900"/>
        <w:rPr>
          <w:rFonts w:ascii="Arial" w:eastAsia="Arial Unicode MS" w:hAnsi="Arial" w:cs="Arial"/>
          <w:color w:val="4F81BD" w:themeColor="accent1"/>
        </w:rPr>
      </w:pPr>
      <w:r w:rsidRPr="00760A2A">
        <w:rPr>
          <w:rFonts w:ascii="Arial" w:eastAsia="Arial Unicode MS" w:hAnsi="Arial" w:cs="Arial"/>
          <w:color w:val="4F81BD" w:themeColor="accent1"/>
        </w:rPr>
        <w:t xml:space="preserve">Ahora bien, el recurso de revisión fue interpuesto dentro del plazo de quince días hábiles previsto en el artículo 166 de la Ley de Transparencia del Estado, toda vez que el particular al presentar su </w:t>
      </w:r>
      <w:r w:rsidRPr="00760A2A">
        <w:rPr>
          <w:rFonts w:ascii="Arial" w:eastAsia="Arial Unicode MS" w:hAnsi="Arial" w:cs="Arial"/>
          <w:color w:val="4F81BD" w:themeColor="accent1"/>
        </w:rPr>
        <w:lastRenderedPageBreak/>
        <w:t xml:space="preserve">solicitud de información en veintinueve de junio de dos mil diecisiete, el término de diez días para emitir una respuesta al particular que refiere el numeral 154 de la Ley de Transparencia Local, empezó a computarse al día siguiente hábil de la presentación de aquella, es decir el treinta y uno de julio de dos mil diecisiete y feneció el once de agosto del año en curso; de ahí que el plazo para la interposición para el presente recurso, empezó a computarse en catorce de agosto y se integró a su vez por los días quince, dieciséis, diecisiete, dieciocho, veintiuno, veintidós, veintitrés, veinticuatro, veinticinco, veintiocho, veintinueve, treinta, treinta y uno de agosto, así como el primero y dos de septiembre; todos ellos de dos mil diecisiete; </w:t>
      </w:r>
      <w:r w:rsidRPr="00760A2A">
        <w:rPr>
          <w:rFonts w:ascii="Arial" w:hAnsi="Arial" w:cs="Arial"/>
          <w:color w:val="4F81BD" w:themeColor="accent1"/>
          <w:lang w:val="es-MX"/>
        </w:rPr>
        <w:t xml:space="preserve">resulta entonces que al interponer el presente medio de defensa el </w:t>
      </w:r>
      <w:r w:rsidRPr="00760A2A">
        <w:rPr>
          <w:rFonts w:ascii="Arial" w:hAnsi="Arial" w:cs="Arial"/>
          <w:b/>
          <w:color w:val="4F81BD" w:themeColor="accent1"/>
          <w:lang w:val="es-MX"/>
        </w:rPr>
        <w:t>treinta y uno de agosto de dos mil diecisiete</w:t>
      </w:r>
      <w:r w:rsidRPr="00760A2A">
        <w:rPr>
          <w:rFonts w:ascii="Arial" w:hAnsi="Arial" w:cs="Arial"/>
          <w:color w:val="4F81BD" w:themeColor="accent1"/>
          <w:lang w:val="es-MX"/>
        </w:rPr>
        <w:t xml:space="preserve">, se hizo valer el </w:t>
      </w:r>
      <w:r w:rsidRPr="00760A2A">
        <w:rPr>
          <w:rFonts w:ascii="Arial" w:hAnsi="Arial" w:cs="Arial"/>
          <w:b/>
          <w:color w:val="4F81BD" w:themeColor="accent1"/>
          <w:lang w:val="es-MX"/>
        </w:rPr>
        <w:t>décimo tercer</w:t>
      </w:r>
      <w:r w:rsidRPr="00760A2A">
        <w:rPr>
          <w:rFonts w:ascii="Arial" w:hAnsi="Arial" w:cs="Arial"/>
          <w:color w:val="4F81BD" w:themeColor="accent1"/>
          <w:lang w:val="es-MX"/>
        </w:rPr>
        <w:t xml:space="preserve"> </w:t>
      </w:r>
      <w:r w:rsidRPr="00760A2A">
        <w:rPr>
          <w:rFonts w:ascii="Arial" w:hAnsi="Arial" w:cs="Arial"/>
          <w:b/>
          <w:color w:val="4F81BD" w:themeColor="accent1"/>
          <w:lang w:val="es-MX"/>
        </w:rPr>
        <w:t xml:space="preserve">día </w:t>
      </w:r>
      <w:r w:rsidRPr="00760A2A">
        <w:rPr>
          <w:rFonts w:ascii="Arial" w:hAnsi="Arial" w:cs="Arial"/>
          <w:color w:val="4F81BD" w:themeColor="accent1"/>
          <w:lang w:val="es-MX"/>
        </w:rPr>
        <w:t>del plazo con que contaba el recurrente, y por ello su interposición es acorde a lo dispuesto por el numeral 166 de la Ley de Transparencia del Estado, por lo que se concluye que se encuentra dentro de los márgenes temporales previstos en el citado precepto legal.</w:t>
      </w:r>
    </w:p>
    <w:p w:rsidR="00DB3B57" w:rsidRPr="00760A2A" w:rsidRDefault="0014725B" w:rsidP="00711710">
      <w:pPr>
        <w:ind w:firstLine="708"/>
        <w:rPr>
          <w:rFonts w:ascii="Arial" w:hAnsi="Arial" w:cs="Arial"/>
          <w:color w:val="4F81BD" w:themeColor="accent1"/>
          <w:szCs w:val="26"/>
          <w:lang w:val="es-MX"/>
        </w:rPr>
      </w:pPr>
      <w:r w:rsidRPr="00760A2A">
        <w:rPr>
          <w:rFonts w:ascii="Arial" w:hAnsi="Arial" w:cs="Arial"/>
          <w:color w:val="4F81BD" w:themeColor="accent1"/>
          <w:szCs w:val="26"/>
          <w:lang w:val="es-MX"/>
        </w:rPr>
        <w:t xml:space="preserve"> </w:t>
      </w:r>
      <w:r w:rsidRPr="00760A2A">
        <w:rPr>
          <w:rFonts w:ascii="Arial" w:eastAsia="Arial Unicode MS" w:hAnsi="Arial" w:cs="Arial"/>
          <w:color w:val="4F81BD" w:themeColor="accent1"/>
          <w:szCs w:val="26"/>
        </w:rPr>
        <w:t xml:space="preserve">Al quedar dilucidado la fecha de vencimiento de la solicitud, es necesario precisar que no existe constancia que acredite la emisión de una respuesta por parte del sujeto obligado dentro del periodo de 10 diez días con que contaba, sin que pase inadvertida la circunstancia de en la substanciación del medio de defensa que se examina, la autoridad responsable </w:t>
      </w:r>
      <w:r w:rsidR="007251F6" w:rsidRPr="00760A2A">
        <w:rPr>
          <w:rFonts w:ascii="Arial" w:eastAsia="Arial Unicode MS" w:hAnsi="Arial" w:cs="Arial"/>
          <w:color w:val="4F81BD" w:themeColor="accent1"/>
          <w:szCs w:val="26"/>
        </w:rPr>
        <w:t xml:space="preserve">compareció al presente asunto a través del oficio D.-160/17, suscrito por el Director del Instituto Tecnológico de Matehuala y, </w:t>
      </w:r>
      <w:r w:rsidRPr="00760A2A">
        <w:rPr>
          <w:rFonts w:ascii="Arial" w:eastAsia="Arial Unicode MS" w:hAnsi="Arial" w:cs="Arial"/>
          <w:color w:val="4F81BD" w:themeColor="accent1"/>
          <w:szCs w:val="26"/>
        </w:rPr>
        <w:t>e</w:t>
      </w:r>
      <w:r w:rsidR="007251F6" w:rsidRPr="00760A2A">
        <w:rPr>
          <w:rFonts w:ascii="Arial" w:eastAsia="Arial Unicode MS" w:hAnsi="Arial" w:cs="Arial"/>
          <w:color w:val="4F81BD" w:themeColor="accent1"/>
          <w:szCs w:val="26"/>
        </w:rPr>
        <w:t xml:space="preserve">n </w:t>
      </w:r>
      <w:r w:rsidR="00711710" w:rsidRPr="00760A2A">
        <w:rPr>
          <w:rFonts w:ascii="Arial" w:hAnsi="Arial" w:cs="Arial"/>
          <w:color w:val="4F81BD" w:themeColor="accent1"/>
          <w:szCs w:val="26"/>
          <w:lang w:val="es-MX"/>
        </w:rPr>
        <w:t>cuanto a la solicitud de información solicitada por la quejosa en los puntos uno, dos, tres y cuatro, la autoridad señaló</w:t>
      </w:r>
      <w:r w:rsidR="00B95252" w:rsidRPr="00760A2A">
        <w:rPr>
          <w:rFonts w:ascii="Arial" w:eastAsia="Arial Unicode MS" w:hAnsi="Arial" w:cs="Arial"/>
          <w:color w:val="4F81BD" w:themeColor="accent1"/>
          <w:szCs w:val="26"/>
        </w:rPr>
        <w:t xml:space="preserve"> (Foja 20)</w:t>
      </w:r>
      <w:r w:rsidR="007251F6" w:rsidRPr="00760A2A">
        <w:rPr>
          <w:rFonts w:ascii="Arial" w:eastAsia="Arial Unicode MS" w:hAnsi="Arial" w:cs="Arial"/>
          <w:color w:val="4F81BD" w:themeColor="accent1"/>
          <w:szCs w:val="26"/>
        </w:rPr>
        <w:t xml:space="preserve"> lo siguiente</w:t>
      </w:r>
      <w:r w:rsidRPr="00760A2A">
        <w:rPr>
          <w:rFonts w:ascii="Arial" w:eastAsia="Arial Unicode MS" w:hAnsi="Arial" w:cs="Arial"/>
          <w:color w:val="4F81BD" w:themeColor="accent1"/>
          <w:szCs w:val="26"/>
        </w:rPr>
        <w:t>:</w:t>
      </w:r>
    </w:p>
    <w:p w:rsidR="00711710" w:rsidRPr="00760A2A" w:rsidRDefault="00711710" w:rsidP="00711710">
      <w:pPr>
        <w:ind w:firstLine="708"/>
        <w:rPr>
          <w:rFonts w:ascii="Arial" w:hAnsi="Arial" w:cs="Arial"/>
          <w:color w:val="4F81BD" w:themeColor="accent1"/>
          <w:szCs w:val="26"/>
          <w:lang w:val="es-MX"/>
        </w:rPr>
      </w:pPr>
    </w:p>
    <w:p w:rsidR="00DB3B57" w:rsidRPr="00760A2A" w:rsidRDefault="00DB3B57" w:rsidP="00B64F17">
      <w:pPr>
        <w:spacing w:line="240" w:lineRule="auto"/>
        <w:ind w:firstLine="708"/>
        <w:rPr>
          <w:rFonts w:ascii="Arial" w:hAnsi="Arial" w:cs="Arial"/>
          <w:i/>
          <w:color w:val="4F81BD" w:themeColor="accent1"/>
          <w:sz w:val="22"/>
          <w:szCs w:val="22"/>
          <w:lang w:val="es-MX"/>
        </w:rPr>
      </w:pPr>
      <w:r w:rsidRPr="00760A2A">
        <w:rPr>
          <w:rFonts w:ascii="Arial" w:hAnsi="Arial" w:cs="Arial"/>
          <w:i/>
          <w:color w:val="4F81BD" w:themeColor="accent1"/>
          <w:sz w:val="22"/>
          <w:szCs w:val="22"/>
          <w:lang w:val="es-MX"/>
        </w:rPr>
        <w:t xml:space="preserve">Respuesta: Por el momento </w:t>
      </w:r>
      <w:r w:rsidRPr="00760A2A">
        <w:rPr>
          <w:rFonts w:ascii="Arial" w:hAnsi="Arial" w:cs="Arial"/>
          <w:b/>
          <w:i/>
          <w:color w:val="4F81BD" w:themeColor="accent1"/>
          <w:sz w:val="22"/>
          <w:szCs w:val="22"/>
          <w:lang w:val="es-MX"/>
        </w:rPr>
        <w:t xml:space="preserve">NO ES POSIBLE </w:t>
      </w:r>
      <w:r w:rsidRPr="00760A2A">
        <w:rPr>
          <w:rFonts w:ascii="Arial" w:hAnsi="Arial" w:cs="Arial"/>
          <w:i/>
          <w:color w:val="4F81BD" w:themeColor="accent1"/>
          <w:sz w:val="22"/>
          <w:szCs w:val="22"/>
          <w:lang w:val="es-MX"/>
        </w:rPr>
        <w:t xml:space="preserve">proporcionarle dicha información y/o documentación en virtud de que dicha información está clasificada como </w:t>
      </w:r>
      <w:r w:rsidRPr="00760A2A">
        <w:rPr>
          <w:rFonts w:ascii="Arial" w:hAnsi="Arial" w:cs="Arial"/>
          <w:b/>
          <w:i/>
          <w:color w:val="4F81BD" w:themeColor="accent1"/>
          <w:sz w:val="22"/>
          <w:szCs w:val="22"/>
          <w:lang w:val="es-MX"/>
        </w:rPr>
        <w:t xml:space="preserve">CONFIDENCIAL </w:t>
      </w:r>
      <w:r w:rsidRPr="00760A2A">
        <w:rPr>
          <w:rFonts w:ascii="Arial" w:hAnsi="Arial" w:cs="Arial"/>
          <w:i/>
          <w:color w:val="4F81BD" w:themeColor="accent1"/>
          <w:sz w:val="22"/>
          <w:szCs w:val="22"/>
          <w:lang w:val="es-MX"/>
        </w:rPr>
        <w:t xml:space="preserve">tal y como me informa el TITULAR DE LA UNIDAD DE TRANSPARENCIA DEL INSTITUTO </w:t>
      </w:r>
      <w:r w:rsidR="00394AAA" w:rsidRPr="00760A2A">
        <w:rPr>
          <w:rFonts w:ascii="Arial" w:hAnsi="Arial" w:cs="Arial"/>
          <w:i/>
          <w:color w:val="4F81BD" w:themeColor="accent1"/>
          <w:sz w:val="22"/>
          <w:szCs w:val="22"/>
          <w:lang w:val="es-MX"/>
        </w:rPr>
        <w:t xml:space="preserve">TECNOLÓGICO DE MATEHUALA, basado esto en el artículo Trigésimo Octavo de la Ley de Transparencia y Acceso a la Información Pública.  </w:t>
      </w:r>
    </w:p>
    <w:p w:rsidR="00711710" w:rsidRPr="00760A2A" w:rsidRDefault="00711710" w:rsidP="008C4124">
      <w:pPr>
        <w:ind w:firstLine="708"/>
        <w:rPr>
          <w:rFonts w:ascii="Arial" w:hAnsi="Arial" w:cs="Arial"/>
          <w:i/>
          <w:color w:val="4F81BD" w:themeColor="accent1"/>
          <w:szCs w:val="26"/>
          <w:lang w:val="es-MX"/>
        </w:rPr>
      </w:pPr>
    </w:p>
    <w:p w:rsidR="00394AAA" w:rsidRPr="00760A2A" w:rsidRDefault="00711710" w:rsidP="008C4124">
      <w:pPr>
        <w:ind w:firstLine="708"/>
        <w:rPr>
          <w:rFonts w:ascii="Arial" w:hAnsi="Arial" w:cs="Arial"/>
          <w:color w:val="4F81BD" w:themeColor="accent1"/>
          <w:szCs w:val="26"/>
          <w:lang w:val="es-MX"/>
        </w:rPr>
      </w:pPr>
      <w:r w:rsidRPr="00760A2A">
        <w:rPr>
          <w:rFonts w:ascii="Arial" w:hAnsi="Arial" w:cs="Arial"/>
          <w:color w:val="4F81BD" w:themeColor="accent1"/>
          <w:szCs w:val="26"/>
          <w:lang w:val="es-MX"/>
        </w:rPr>
        <w:t xml:space="preserve">Respecto el punto marcado como el número cinco de la solicitud de información, manifestó: </w:t>
      </w:r>
    </w:p>
    <w:p w:rsidR="00B64F17" w:rsidRPr="00760A2A" w:rsidRDefault="00B64F17" w:rsidP="008C4124">
      <w:pPr>
        <w:ind w:firstLine="708"/>
        <w:rPr>
          <w:rFonts w:ascii="Arial" w:hAnsi="Arial" w:cs="Arial"/>
          <w:color w:val="4F81BD" w:themeColor="accent1"/>
          <w:szCs w:val="26"/>
          <w:lang w:val="es-MX"/>
        </w:rPr>
      </w:pPr>
    </w:p>
    <w:p w:rsidR="004A3676" w:rsidRPr="00760A2A" w:rsidRDefault="00711710" w:rsidP="00B64F17">
      <w:pPr>
        <w:spacing w:line="240" w:lineRule="auto"/>
        <w:ind w:firstLine="708"/>
        <w:rPr>
          <w:rFonts w:ascii="Arial" w:hAnsi="Arial" w:cs="Arial"/>
          <w:i/>
          <w:color w:val="4F81BD" w:themeColor="accent1"/>
          <w:sz w:val="22"/>
          <w:szCs w:val="22"/>
          <w:lang w:val="es-MX"/>
        </w:rPr>
      </w:pPr>
      <w:r w:rsidRPr="00760A2A">
        <w:rPr>
          <w:rFonts w:ascii="Arial" w:hAnsi="Arial" w:cs="Arial"/>
          <w:b/>
          <w:i/>
          <w:color w:val="4F81BD" w:themeColor="accent1"/>
          <w:sz w:val="22"/>
          <w:szCs w:val="22"/>
          <w:lang w:val="es-MX"/>
        </w:rPr>
        <w:t xml:space="preserve">NOTA: </w:t>
      </w:r>
      <w:r w:rsidRPr="00760A2A">
        <w:rPr>
          <w:rFonts w:ascii="Arial" w:hAnsi="Arial" w:cs="Arial"/>
          <w:i/>
          <w:color w:val="4F81BD" w:themeColor="accent1"/>
          <w:sz w:val="22"/>
          <w:szCs w:val="22"/>
          <w:u w:val="single"/>
          <w:lang w:val="es-MX"/>
        </w:rPr>
        <w:t>LA ESTRUCTURA EDUCATIVA DPPI,</w:t>
      </w:r>
      <w:r w:rsidRPr="00760A2A">
        <w:rPr>
          <w:rFonts w:ascii="Arial" w:hAnsi="Arial" w:cs="Arial"/>
          <w:i/>
          <w:color w:val="4F81BD" w:themeColor="accent1"/>
          <w:sz w:val="22"/>
          <w:szCs w:val="22"/>
          <w:lang w:val="es-MX"/>
        </w:rPr>
        <w:t xml:space="preserve"> del personal docente, incluye materias;</w:t>
      </w:r>
      <w:r w:rsidR="004A3676" w:rsidRPr="00760A2A">
        <w:rPr>
          <w:rFonts w:ascii="Arial" w:hAnsi="Arial" w:cs="Arial"/>
          <w:i/>
          <w:color w:val="4F81BD" w:themeColor="accent1"/>
          <w:sz w:val="22"/>
          <w:szCs w:val="22"/>
          <w:lang w:val="es-MX"/>
        </w:rPr>
        <w:t xml:space="preserve"> grupos por semestre y docente que cubre la materia; también incluye la relación de relación de personal docente por área académica donde viene su tipo de nombramiento, año ingreso al sistema, categorías o plazas, total de horas de nombramiento, número de horas frente a grupo, materias que imparte, número de grupos y carrera de la materia y la escolaridad del maestro. </w:t>
      </w:r>
    </w:p>
    <w:p w:rsidR="004A3676" w:rsidRPr="00760A2A" w:rsidRDefault="004A3676" w:rsidP="00B64F17">
      <w:pPr>
        <w:spacing w:line="240" w:lineRule="auto"/>
        <w:ind w:firstLine="708"/>
        <w:rPr>
          <w:rFonts w:ascii="Arial" w:hAnsi="Arial" w:cs="Arial"/>
          <w:i/>
          <w:color w:val="4F81BD" w:themeColor="accent1"/>
          <w:sz w:val="22"/>
          <w:szCs w:val="22"/>
          <w:lang w:val="es-MX"/>
        </w:rPr>
      </w:pPr>
      <w:r w:rsidRPr="00760A2A">
        <w:rPr>
          <w:rFonts w:ascii="Arial" w:hAnsi="Arial" w:cs="Arial"/>
          <w:i/>
          <w:color w:val="4F81BD" w:themeColor="accent1"/>
          <w:sz w:val="22"/>
          <w:szCs w:val="22"/>
          <w:lang w:val="es-MX"/>
        </w:rPr>
        <w:t xml:space="preserve">Respuesta: Por el momento </w:t>
      </w:r>
      <w:r w:rsidRPr="00760A2A">
        <w:rPr>
          <w:rFonts w:ascii="Arial" w:hAnsi="Arial" w:cs="Arial"/>
          <w:b/>
          <w:i/>
          <w:color w:val="4F81BD" w:themeColor="accent1"/>
          <w:sz w:val="22"/>
          <w:szCs w:val="22"/>
          <w:lang w:val="es-MX"/>
        </w:rPr>
        <w:t>NO ES POSIBLE</w:t>
      </w:r>
      <w:r w:rsidRPr="00760A2A">
        <w:rPr>
          <w:rFonts w:ascii="Arial" w:hAnsi="Arial" w:cs="Arial"/>
          <w:i/>
          <w:color w:val="4F81BD" w:themeColor="accent1"/>
          <w:sz w:val="22"/>
          <w:szCs w:val="22"/>
          <w:lang w:val="es-MX"/>
        </w:rPr>
        <w:t xml:space="preserve"> proporcionarle dicha información y/o documentación SOLICITADA en virtud de que dicha información está clasificada como CONFIDENCIAL tal y como me lo informa el TITULAR DE LA UNIDAD DE TRANSPARENCIA DEL INSTITUTO TECNOLÓGICO DE MATEHUALA, basado esto en el artículo Trigésimo Octavo de la Ley de Transparencia y Acceso a la Información Pública. </w:t>
      </w:r>
    </w:p>
    <w:p w:rsidR="004A3676" w:rsidRPr="00760A2A" w:rsidRDefault="00711710" w:rsidP="00B64F17">
      <w:pPr>
        <w:spacing w:line="240" w:lineRule="auto"/>
        <w:ind w:firstLine="708"/>
        <w:rPr>
          <w:rFonts w:ascii="Arial" w:hAnsi="Arial" w:cs="Arial"/>
          <w:i/>
          <w:color w:val="4F81BD" w:themeColor="accent1"/>
          <w:sz w:val="22"/>
          <w:szCs w:val="22"/>
          <w:lang w:val="es-MX"/>
        </w:rPr>
      </w:pPr>
      <w:r w:rsidRPr="00760A2A">
        <w:rPr>
          <w:rFonts w:ascii="Arial" w:hAnsi="Arial" w:cs="Arial"/>
          <w:i/>
          <w:color w:val="4F81BD" w:themeColor="accent1"/>
          <w:sz w:val="22"/>
          <w:szCs w:val="22"/>
          <w:lang w:val="es-MX"/>
        </w:rPr>
        <w:t xml:space="preserve"> </w:t>
      </w:r>
      <w:r w:rsidR="004A3676" w:rsidRPr="00760A2A">
        <w:rPr>
          <w:rFonts w:ascii="Arial" w:hAnsi="Arial" w:cs="Arial"/>
          <w:i/>
          <w:color w:val="4F81BD" w:themeColor="accent1"/>
          <w:sz w:val="22"/>
          <w:szCs w:val="22"/>
          <w:lang w:val="es-MX"/>
        </w:rPr>
        <w:t>POR LAS RAZONES EXPUESTAS Y CON FUNDAMENTO EN EL ARTÍCULO 174 FRACCIONES II Y III DE LA LEY DE TRANSPARENCIA Y ACCESO A LA INFORMACIÓN PÚBLICA DEL ESTADO EN CORRELACIÓN CON EL ARTÍCULO 4º VENGO A OFRECER LAS PRUEBAS QUE SE ENUMERAN Y OFRECER LOS ALEGATOS EN LOS SIGUIENTES TÉRMINOS:</w:t>
      </w:r>
    </w:p>
    <w:p w:rsidR="004A3676" w:rsidRPr="00760A2A" w:rsidRDefault="00C56D55" w:rsidP="00B64F17">
      <w:pPr>
        <w:spacing w:line="240" w:lineRule="auto"/>
        <w:ind w:firstLine="708"/>
        <w:rPr>
          <w:rFonts w:ascii="Arial" w:hAnsi="Arial" w:cs="Arial"/>
          <w:i/>
          <w:color w:val="4F81BD" w:themeColor="accent1"/>
          <w:sz w:val="22"/>
          <w:szCs w:val="22"/>
          <w:lang w:val="es-MX"/>
        </w:rPr>
      </w:pPr>
      <w:r w:rsidRPr="00760A2A">
        <w:rPr>
          <w:rFonts w:ascii="Arial" w:hAnsi="Arial" w:cs="Arial"/>
          <w:i/>
          <w:color w:val="4F81BD" w:themeColor="accent1"/>
          <w:sz w:val="22"/>
          <w:szCs w:val="22"/>
          <w:lang w:val="es-MX"/>
        </w:rPr>
        <w:t xml:space="preserve">H. Miembros de esta Comisión en razón de que la Quejosa es de aquellas que la Ley señala como CONFIDENCIAL tal y como reza el Capítulo </w:t>
      </w:r>
      <w:r w:rsidRPr="00760A2A">
        <w:rPr>
          <w:rFonts w:ascii="Arial" w:hAnsi="Arial" w:cs="Arial"/>
          <w:b/>
          <w:i/>
          <w:color w:val="4F81BD" w:themeColor="accent1"/>
          <w:sz w:val="22"/>
          <w:szCs w:val="22"/>
          <w:lang w:val="es-MX"/>
        </w:rPr>
        <w:t xml:space="preserve">DE LA INFORMACIÓN CONFIDENCIAL </w:t>
      </w:r>
      <w:r w:rsidRPr="00760A2A">
        <w:rPr>
          <w:rFonts w:ascii="Arial" w:hAnsi="Arial" w:cs="Arial"/>
          <w:i/>
          <w:color w:val="4F81BD" w:themeColor="accent1"/>
          <w:sz w:val="22"/>
          <w:szCs w:val="22"/>
          <w:lang w:val="es-MX"/>
        </w:rPr>
        <w:t xml:space="preserve">de la Ley de Transparencia y Acceso a la Información Pública del Estado que dice: </w:t>
      </w:r>
    </w:p>
    <w:p w:rsidR="00C56D55" w:rsidRPr="00760A2A" w:rsidRDefault="00C56D55" w:rsidP="00B64F17">
      <w:pPr>
        <w:spacing w:line="240" w:lineRule="auto"/>
        <w:ind w:firstLine="708"/>
        <w:rPr>
          <w:rFonts w:ascii="Arial" w:hAnsi="Arial" w:cs="Arial"/>
          <w:b/>
          <w:i/>
          <w:color w:val="4F81BD" w:themeColor="accent1"/>
          <w:sz w:val="22"/>
          <w:szCs w:val="22"/>
          <w:lang w:val="es-MX"/>
        </w:rPr>
      </w:pPr>
      <w:r w:rsidRPr="00760A2A">
        <w:rPr>
          <w:rFonts w:ascii="Arial" w:hAnsi="Arial" w:cs="Arial"/>
          <w:b/>
          <w:i/>
          <w:color w:val="4F81BD" w:themeColor="accent1"/>
          <w:sz w:val="22"/>
          <w:szCs w:val="22"/>
          <w:lang w:val="es-MX"/>
        </w:rPr>
        <w:t xml:space="preserve">“Trigésimo octavo. </w:t>
      </w:r>
      <w:r w:rsidRPr="00760A2A">
        <w:rPr>
          <w:rFonts w:ascii="Arial" w:hAnsi="Arial" w:cs="Arial"/>
          <w:i/>
          <w:color w:val="4F81BD" w:themeColor="accent1"/>
          <w:sz w:val="22"/>
          <w:szCs w:val="22"/>
          <w:lang w:val="es-MX"/>
        </w:rPr>
        <w:t xml:space="preserve">Se considera información confidencial: </w:t>
      </w:r>
    </w:p>
    <w:p w:rsidR="00C56D55" w:rsidRPr="00760A2A" w:rsidRDefault="00C56D55" w:rsidP="00B64F17">
      <w:pPr>
        <w:pStyle w:val="Prrafodelista"/>
        <w:numPr>
          <w:ilvl w:val="0"/>
          <w:numId w:val="16"/>
        </w:numPr>
        <w:spacing w:line="240" w:lineRule="auto"/>
        <w:rPr>
          <w:rFonts w:ascii="Arial" w:hAnsi="Arial" w:cs="Arial"/>
          <w:i/>
          <w:color w:val="4F81BD" w:themeColor="accent1"/>
          <w:sz w:val="22"/>
          <w:szCs w:val="22"/>
          <w:lang w:val="es-MX"/>
        </w:rPr>
      </w:pPr>
      <w:r w:rsidRPr="00760A2A">
        <w:rPr>
          <w:rFonts w:ascii="Arial" w:hAnsi="Arial" w:cs="Arial"/>
          <w:i/>
          <w:color w:val="4F81BD" w:themeColor="accent1"/>
          <w:sz w:val="22"/>
          <w:szCs w:val="22"/>
          <w:lang w:val="es-MX"/>
        </w:rPr>
        <w:t>Los datos personales en los términos de la norma aplicable;</w:t>
      </w:r>
    </w:p>
    <w:p w:rsidR="00C56D55" w:rsidRPr="00760A2A" w:rsidRDefault="00C56D55" w:rsidP="00B64F17">
      <w:pPr>
        <w:pStyle w:val="Prrafodelista"/>
        <w:numPr>
          <w:ilvl w:val="0"/>
          <w:numId w:val="16"/>
        </w:numPr>
        <w:spacing w:line="240" w:lineRule="auto"/>
        <w:rPr>
          <w:rFonts w:ascii="Arial" w:hAnsi="Arial" w:cs="Arial"/>
          <w:i/>
          <w:color w:val="4F81BD" w:themeColor="accent1"/>
          <w:sz w:val="22"/>
          <w:szCs w:val="22"/>
          <w:lang w:val="es-MX"/>
        </w:rPr>
      </w:pPr>
      <w:r w:rsidRPr="00760A2A">
        <w:rPr>
          <w:rFonts w:ascii="Arial" w:hAnsi="Arial" w:cs="Arial"/>
          <w:i/>
          <w:color w:val="4F81BD" w:themeColor="accent1"/>
          <w:sz w:val="22"/>
          <w:szCs w:val="22"/>
          <w:lang w:val="es-MX"/>
        </w:rPr>
        <w:t>La que se entregue con tal carácter por los particulares a los sujetos obligados, siempre y cuando tengan el derecho de entregar con dicho carácter la información, de conformidad con lo dispuesto en las leyes o en los Tratados Internacionales de los que el Estado mexicano sea parte, y...”.</w:t>
      </w:r>
    </w:p>
    <w:p w:rsidR="004A3676" w:rsidRPr="00760A2A" w:rsidRDefault="004A3676" w:rsidP="008C4124">
      <w:pPr>
        <w:ind w:firstLine="708"/>
        <w:rPr>
          <w:rFonts w:ascii="Arial" w:hAnsi="Arial" w:cs="Arial"/>
          <w:color w:val="4F81BD" w:themeColor="accent1"/>
          <w:szCs w:val="26"/>
          <w:lang w:val="es-MX"/>
        </w:rPr>
      </w:pPr>
    </w:p>
    <w:p w:rsidR="00936F39" w:rsidRPr="00760A2A" w:rsidRDefault="00936F39" w:rsidP="00936F39">
      <w:pPr>
        <w:spacing w:before="240"/>
        <w:ind w:firstLine="708"/>
        <w:rPr>
          <w:rFonts w:ascii="Arial" w:eastAsia="Arial Unicode MS" w:hAnsi="Arial" w:cs="Arial"/>
          <w:color w:val="4F81BD" w:themeColor="accent1"/>
        </w:rPr>
      </w:pPr>
      <w:r w:rsidRPr="00760A2A">
        <w:rPr>
          <w:rFonts w:ascii="Arial" w:hAnsi="Arial" w:cs="Arial"/>
          <w:color w:val="4F81BD" w:themeColor="accent1"/>
        </w:rPr>
        <w:t xml:space="preserve">Del análisis efectuado a la respuesta otorgada por el ente obligado, se estima que la misma carece de la debida fundamentación y motivación, por lo que resulta pertinente invocar el criterio </w:t>
      </w:r>
      <w:r w:rsidRPr="00760A2A">
        <w:rPr>
          <w:rFonts w:ascii="Arial" w:eastAsia="Arial Unicode MS" w:hAnsi="Arial" w:cs="Arial"/>
          <w:color w:val="4F81BD" w:themeColor="accent1"/>
        </w:rPr>
        <w:t>emitido por Poder Judicial de la Federación, contenido en la tesis jurisprudencial</w:t>
      </w:r>
      <w:r w:rsidRPr="00760A2A">
        <w:rPr>
          <w:rFonts w:ascii="Arial" w:hAnsi="Arial" w:cs="Arial"/>
          <w:color w:val="4F81BD" w:themeColor="accent1"/>
        </w:rPr>
        <w:t xml:space="preserve"> I.3o.C. J/47, que establece:</w:t>
      </w:r>
    </w:p>
    <w:p w:rsidR="00936F39" w:rsidRPr="00760A2A" w:rsidRDefault="00936F39" w:rsidP="008062CF">
      <w:pPr>
        <w:pStyle w:val="NormalWeb"/>
        <w:ind w:left="709" w:firstLine="709"/>
        <w:jc w:val="both"/>
        <w:rPr>
          <w:rStyle w:val="apple-converted-space"/>
          <w:rFonts w:ascii="Arial" w:hAnsi="Arial" w:cs="Arial"/>
          <w:i/>
          <w:color w:val="4F81BD" w:themeColor="accent1"/>
          <w:sz w:val="22"/>
          <w:szCs w:val="20"/>
        </w:rPr>
      </w:pPr>
      <w:r w:rsidRPr="00760A2A">
        <w:rPr>
          <w:rFonts w:ascii="Arial" w:hAnsi="Arial" w:cs="Arial"/>
          <w:b/>
          <w:bCs/>
          <w:i/>
          <w:color w:val="4F81BD" w:themeColor="accent1"/>
          <w:sz w:val="22"/>
          <w:szCs w:val="20"/>
        </w:rPr>
        <w:t>FUNDAMENTACIÓN Y MOTIVACIÓN. LA DIFERENCIA ENTRE LA FALTA Y LA INDEBIDA SATISFACCIÓN DE AMBOS REQUISITOS CONSTITUCIONALES TRASCIENDE AL ORDEN EN QUE DEBEN ESTUDIARSE LOS CONCEPTOS DE VIOLACIÓN Y A LOS EFECTOS DEL FALLO PROTECTOR.</w:t>
      </w:r>
      <w:r w:rsidR="008062CF" w:rsidRPr="00760A2A">
        <w:rPr>
          <w:rFonts w:ascii="Arial" w:hAnsi="Arial" w:cs="Arial"/>
          <w:b/>
          <w:bCs/>
          <w:i/>
          <w:color w:val="4F81BD" w:themeColor="accent1"/>
          <w:sz w:val="22"/>
          <w:szCs w:val="20"/>
        </w:rPr>
        <w:t xml:space="preserve"> </w:t>
      </w:r>
      <w:r w:rsidRPr="00760A2A">
        <w:rPr>
          <w:rFonts w:ascii="Arial" w:hAnsi="Arial" w:cs="Arial"/>
          <w:i/>
          <w:color w:val="4F81BD" w:themeColor="accent1"/>
          <w:sz w:val="22"/>
          <w:szCs w:val="20"/>
        </w:rPr>
        <w:t>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w:t>
      </w:r>
      <w:r w:rsidRPr="00760A2A">
        <w:rPr>
          <w:rStyle w:val="apple-converted-space"/>
          <w:rFonts w:ascii="Arial" w:hAnsi="Arial" w:cs="Arial"/>
          <w:i/>
          <w:color w:val="4F81BD" w:themeColor="accent1"/>
          <w:sz w:val="22"/>
          <w:szCs w:val="20"/>
        </w:rPr>
        <w:t> </w:t>
      </w:r>
      <w:r w:rsidRPr="00760A2A">
        <w:rPr>
          <w:rFonts w:ascii="Arial" w:hAnsi="Arial" w:cs="Arial"/>
          <w:i/>
          <w:color w:val="4F81BD" w:themeColor="accent1"/>
          <w:sz w:val="22"/>
          <w:szCs w:val="20"/>
        </w:rPr>
        <w:t>16 constitucional</w:t>
      </w:r>
      <w:r w:rsidRPr="00760A2A">
        <w:rPr>
          <w:rStyle w:val="apple-converted-space"/>
          <w:rFonts w:ascii="Arial" w:hAnsi="Arial" w:cs="Arial"/>
          <w:i/>
          <w:color w:val="4F81BD" w:themeColor="accent1"/>
          <w:sz w:val="22"/>
          <w:szCs w:val="20"/>
        </w:rPr>
        <w:t> </w:t>
      </w:r>
      <w:r w:rsidRPr="00760A2A">
        <w:rPr>
          <w:rFonts w:ascii="Arial" w:hAnsi="Arial" w:cs="Arial"/>
          <w:i/>
          <w:color w:val="4F81BD" w:themeColor="accent1"/>
          <w:sz w:val="22"/>
          <w:szCs w:val="20"/>
        </w:rPr>
        <w:t xml:space="preserve">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w:t>
      </w:r>
      <w:r w:rsidRPr="00760A2A">
        <w:rPr>
          <w:rFonts w:ascii="Arial" w:hAnsi="Arial" w:cs="Arial"/>
          <w:i/>
          <w:color w:val="4F81BD" w:themeColor="accent1"/>
          <w:sz w:val="22"/>
          <w:szCs w:val="20"/>
        </w:rPr>
        <w:lastRenderedPageBreak/>
        <w:t>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Pr="00760A2A">
        <w:rPr>
          <w:rStyle w:val="apple-converted-space"/>
          <w:rFonts w:ascii="Arial" w:hAnsi="Arial" w:cs="Arial"/>
          <w:i/>
          <w:color w:val="4F81BD" w:themeColor="accent1"/>
          <w:sz w:val="22"/>
          <w:szCs w:val="20"/>
        </w:rPr>
        <w:t> </w:t>
      </w:r>
    </w:p>
    <w:p w:rsidR="00936F39" w:rsidRPr="00760A2A" w:rsidRDefault="00936F39" w:rsidP="00936F39">
      <w:pPr>
        <w:spacing w:after="240"/>
        <w:rPr>
          <w:rFonts w:ascii="Arial" w:hAnsi="Arial" w:cs="Arial"/>
          <w:color w:val="4F81BD" w:themeColor="accent1"/>
        </w:rPr>
      </w:pPr>
      <w:r w:rsidRPr="00760A2A">
        <w:rPr>
          <w:rFonts w:ascii="Arial" w:hAnsi="Arial" w:cs="Arial"/>
          <w:color w:val="4F81BD" w:themeColor="accent1"/>
        </w:rPr>
        <w:tab/>
        <w:t>Deviene la indebida fundamentación y motivación de la respuesta en razón de que no se estimó de conformidad con la normativa aplicable a la materia el fundamento por el cual no era posible entregar la información, así tampoco expuso los motivos por los que resultaban aplicables los dispositivos normativos al caso concreto, ello en virtud de que la normativa invocada por el ente obligado señala lo siguiente:</w:t>
      </w:r>
    </w:p>
    <w:p w:rsidR="00936F39" w:rsidRPr="00760A2A" w:rsidRDefault="00936F39" w:rsidP="00936F39">
      <w:pPr>
        <w:spacing w:before="240"/>
        <w:ind w:firstLine="708"/>
        <w:rPr>
          <w:rFonts w:ascii="Arial" w:hAnsi="Arial" w:cs="Arial"/>
          <w:color w:val="4F81BD" w:themeColor="accent1"/>
        </w:rPr>
      </w:pPr>
      <w:r w:rsidRPr="00760A2A">
        <w:rPr>
          <w:rFonts w:ascii="Arial" w:hAnsi="Arial" w:cs="Arial"/>
          <w:color w:val="4F81BD" w:themeColor="accent1"/>
        </w:rPr>
        <w:t xml:space="preserve">La fundamentación y motivación de los actos emanados de la autoridad, son el pilar fundamental de la actuación Estatal, puesto que son un precepto ineludible establecido en el artículo 16 de la Constitución Política de los Estados Unidos Mexicanos, por lo que debemos entender </w:t>
      </w:r>
      <w:r w:rsidRPr="00760A2A">
        <w:rPr>
          <w:rFonts w:ascii="Arial" w:hAnsi="Arial" w:cs="Arial"/>
          <w:color w:val="4F81BD" w:themeColor="accent1"/>
        </w:rPr>
        <w:lastRenderedPageBreak/>
        <w:t>por el primero que ha de expresarse con exactitud en el acto de autoridad el precepto legal aplicable al caso y, por motivar, que deben señalarse con precisión las circunstancias especiales, razones particulares o causas inmediatas que se hayan tenido en consideración para su emisión, y es necesario, además, que exista una adecuación entre los motivos aducidos y las normas aplicables, lo cual tiene como propósito primordial, confirmar que al conocer el destinatario del acto el marco normativo en que el acto de molestia surge y las razones de hecho consideradas para emitirlo, pueda ejercer una defensa adecuada ante el mismo</w:t>
      </w:r>
      <w:r w:rsidRPr="00760A2A">
        <w:rPr>
          <w:rFonts w:ascii="Arial" w:hAnsi="Arial" w:cs="Arial"/>
          <w:color w:val="4F81BD" w:themeColor="accent1"/>
          <w:szCs w:val="26"/>
        </w:rPr>
        <w:t>.</w:t>
      </w:r>
    </w:p>
    <w:p w:rsidR="00936F39" w:rsidRPr="00760A2A" w:rsidRDefault="00936F39" w:rsidP="00936F39">
      <w:pPr>
        <w:spacing w:before="240"/>
        <w:ind w:firstLine="708"/>
        <w:rPr>
          <w:rFonts w:ascii="Arial" w:hAnsi="Arial" w:cs="Arial"/>
          <w:color w:val="4F81BD" w:themeColor="accent1"/>
        </w:rPr>
      </w:pPr>
      <w:r w:rsidRPr="00760A2A">
        <w:rPr>
          <w:rFonts w:ascii="Arial" w:hAnsi="Arial" w:cs="Arial"/>
          <w:color w:val="4F81BD" w:themeColor="accent1"/>
        </w:rPr>
        <w:t xml:space="preserve">Con base en lo expuesto, es menester citar el contenido del numeral 114 de la Ley de Transparencia y Acceso a la Información Pública del Estado de San Luis Potosí, que señala: </w:t>
      </w:r>
    </w:p>
    <w:p w:rsidR="00936F39" w:rsidRPr="00760A2A" w:rsidRDefault="00936F39" w:rsidP="00936F39">
      <w:pPr>
        <w:spacing w:before="240" w:line="276" w:lineRule="auto"/>
        <w:ind w:firstLine="708"/>
        <w:rPr>
          <w:rFonts w:ascii="Arial" w:hAnsi="Arial" w:cs="Arial"/>
          <w:i/>
          <w:color w:val="4F81BD" w:themeColor="accent1"/>
          <w:sz w:val="22"/>
          <w:szCs w:val="22"/>
        </w:rPr>
      </w:pPr>
      <w:r w:rsidRPr="00760A2A">
        <w:rPr>
          <w:rFonts w:ascii="Arial" w:hAnsi="Arial" w:cs="Arial"/>
          <w:i/>
          <w:color w:val="4F81BD" w:themeColor="accent1"/>
          <w:sz w:val="22"/>
          <w:szCs w:val="22"/>
        </w:rPr>
        <w:t xml:space="preserve">“...La clasificación es el proceso mediante el cual el sujeto obligado determina que la información en su poder actualiza alguno de los supuestos de reserva o confidencialidad, de conformidad con lo dispuesto en el presente Título. </w:t>
      </w:r>
      <w:r w:rsidRPr="00760A2A">
        <w:rPr>
          <w:rFonts w:ascii="Arial" w:hAnsi="Arial" w:cs="Arial"/>
          <w:b/>
          <w:i/>
          <w:color w:val="4F81BD" w:themeColor="accent1"/>
          <w:sz w:val="22"/>
          <w:szCs w:val="22"/>
        </w:rPr>
        <w:t>Los supuestos de reserva o confidencialidad previstos en las leyes deberán ser acordes con las bases, principios y disposiciones establecidos en esta Ley</w:t>
      </w:r>
      <w:r w:rsidRPr="00760A2A">
        <w:rPr>
          <w:rFonts w:ascii="Arial" w:hAnsi="Arial" w:cs="Arial"/>
          <w:i/>
          <w:color w:val="4F81BD" w:themeColor="accent1"/>
          <w:sz w:val="22"/>
          <w:szCs w:val="22"/>
        </w:rPr>
        <w:t xml:space="preserve"> </w:t>
      </w:r>
      <w:r w:rsidRPr="00760A2A">
        <w:rPr>
          <w:rFonts w:ascii="Arial" w:hAnsi="Arial" w:cs="Arial"/>
          <w:b/>
          <w:i/>
          <w:color w:val="4F81BD" w:themeColor="accent1"/>
          <w:sz w:val="22"/>
          <w:szCs w:val="22"/>
        </w:rPr>
        <w:t>y, en ningún caso, podrán contravenirla.</w:t>
      </w:r>
      <w:r w:rsidRPr="00760A2A">
        <w:rPr>
          <w:rFonts w:ascii="Arial" w:hAnsi="Arial" w:cs="Arial"/>
          <w:i/>
          <w:color w:val="4F81BD" w:themeColor="accent1"/>
          <w:sz w:val="22"/>
          <w:szCs w:val="22"/>
        </w:rPr>
        <w:t xml:space="preserve"> </w:t>
      </w:r>
    </w:p>
    <w:p w:rsidR="00936F39" w:rsidRPr="00760A2A" w:rsidRDefault="00936F39" w:rsidP="00936F39">
      <w:pPr>
        <w:spacing w:before="240" w:line="276" w:lineRule="auto"/>
        <w:ind w:firstLine="708"/>
        <w:rPr>
          <w:rFonts w:ascii="Arial" w:hAnsi="Arial" w:cs="Arial"/>
          <w:i/>
          <w:color w:val="4F81BD" w:themeColor="accent1"/>
          <w:sz w:val="22"/>
          <w:szCs w:val="22"/>
        </w:rPr>
      </w:pPr>
      <w:r w:rsidRPr="00760A2A">
        <w:rPr>
          <w:rFonts w:ascii="Arial" w:hAnsi="Arial" w:cs="Arial"/>
          <w:i/>
          <w:color w:val="4F81BD" w:themeColor="accent1"/>
          <w:sz w:val="22"/>
          <w:szCs w:val="22"/>
        </w:rPr>
        <w:t>Los titulares de las Áreas de los sujetos obligados serán los responsables de clasificar la información, de conformidad con lo dispuesto en, la Ley General y La Ley de Transparencia y Acceso a la Información Pública del Estado de San Luis Potosí.</w:t>
      </w:r>
    </w:p>
    <w:p w:rsidR="00936F39" w:rsidRPr="00760A2A" w:rsidRDefault="00936F39" w:rsidP="00936F39">
      <w:pPr>
        <w:spacing w:before="240" w:line="276" w:lineRule="auto"/>
        <w:ind w:firstLine="708"/>
        <w:rPr>
          <w:rFonts w:ascii="Arial" w:hAnsi="Arial" w:cs="Arial"/>
          <w:i/>
          <w:color w:val="4F81BD" w:themeColor="accent1"/>
          <w:sz w:val="22"/>
          <w:szCs w:val="22"/>
        </w:rPr>
      </w:pPr>
      <w:r w:rsidRPr="00760A2A">
        <w:rPr>
          <w:rFonts w:ascii="Arial" w:hAnsi="Arial" w:cs="Arial"/>
          <w:i/>
          <w:color w:val="4F81BD" w:themeColor="accent1"/>
          <w:sz w:val="22"/>
          <w:szCs w:val="22"/>
        </w:rPr>
        <w:t xml:space="preserve">*El énfasis es propio. </w:t>
      </w:r>
    </w:p>
    <w:p w:rsidR="008062CF" w:rsidRPr="00760A2A" w:rsidRDefault="008062CF" w:rsidP="0014725B">
      <w:pPr>
        <w:pStyle w:val="Textoindependienteprimerasangra"/>
        <w:spacing w:before="240"/>
        <w:ind w:firstLine="900"/>
        <w:rPr>
          <w:rFonts w:ascii="Arial" w:hAnsi="Arial" w:cs="Arial"/>
          <w:color w:val="4F81BD" w:themeColor="accent1"/>
          <w:lang w:val="es-MX"/>
        </w:rPr>
      </w:pPr>
      <w:r w:rsidRPr="00760A2A">
        <w:rPr>
          <w:rFonts w:ascii="Arial" w:hAnsi="Arial" w:cs="Arial"/>
          <w:color w:val="4F81BD" w:themeColor="accent1"/>
          <w:lang w:val="es-MX"/>
        </w:rPr>
        <w:t>En el caso concreto, e</w:t>
      </w:r>
      <w:r w:rsidR="0014725B" w:rsidRPr="00760A2A">
        <w:rPr>
          <w:rFonts w:ascii="Arial" w:hAnsi="Arial" w:cs="Arial"/>
          <w:color w:val="4F81BD" w:themeColor="accent1"/>
          <w:lang w:val="es-MX"/>
        </w:rPr>
        <w:t xml:space="preserve">l acuerdo de reserva emitido por el sujeto obligado el </w:t>
      </w:r>
      <w:r w:rsidRPr="00760A2A">
        <w:rPr>
          <w:rFonts w:ascii="Arial" w:hAnsi="Arial" w:cs="Arial"/>
          <w:color w:val="4F81BD" w:themeColor="accent1"/>
          <w:lang w:val="es-MX"/>
        </w:rPr>
        <w:t xml:space="preserve">nueve de octubre de dos mil diecisiete, el cual se fundamenta en el capítulo de la Información Confidencial de la Ley de Transparencia y Acceso a la Información Confidencial de la Ley de Transparencia y Acceso a la Información Pública del Estado, </w:t>
      </w:r>
      <w:r w:rsidR="0014725B" w:rsidRPr="00760A2A">
        <w:rPr>
          <w:rFonts w:ascii="Arial" w:hAnsi="Arial" w:cs="Arial"/>
          <w:color w:val="4F81BD" w:themeColor="accent1"/>
          <w:lang w:val="es-MX"/>
        </w:rPr>
        <w:t>y por él se clasificó</w:t>
      </w:r>
      <w:r w:rsidR="00FB1E6A" w:rsidRPr="00760A2A">
        <w:rPr>
          <w:rFonts w:ascii="Arial" w:hAnsi="Arial" w:cs="Arial"/>
          <w:color w:val="4F81BD" w:themeColor="accent1"/>
          <w:lang w:val="es-MX"/>
        </w:rPr>
        <w:t xml:space="preserve"> la información contenida en el ocurso de solicitud de acceso de la aquí inconforme</w:t>
      </w:r>
      <w:r w:rsidR="00FB1E6A" w:rsidRPr="00760A2A">
        <w:rPr>
          <w:rStyle w:val="Refdenotaalpie"/>
          <w:rFonts w:ascii="Arial" w:hAnsi="Arial" w:cs="Arial"/>
          <w:color w:val="4F81BD" w:themeColor="accent1"/>
          <w:lang w:val="es-MX"/>
        </w:rPr>
        <w:footnoteReference w:id="1"/>
      </w:r>
      <w:r w:rsidR="00FB1E6A" w:rsidRPr="00760A2A">
        <w:rPr>
          <w:rFonts w:ascii="Arial" w:hAnsi="Arial" w:cs="Arial"/>
          <w:color w:val="4F81BD" w:themeColor="accent1"/>
          <w:lang w:val="es-MX"/>
        </w:rPr>
        <w:t>.</w:t>
      </w:r>
    </w:p>
    <w:p w:rsidR="0014725B" w:rsidRPr="00760A2A" w:rsidRDefault="0014725B" w:rsidP="0014725B">
      <w:pPr>
        <w:pStyle w:val="Textoindependienteprimerasangra"/>
        <w:spacing w:before="240"/>
        <w:ind w:firstLine="900"/>
        <w:rPr>
          <w:rFonts w:ascii="Arial" w:hAnsi="Arial" w:cs="Arial"/>
          <w:color w:val="4F81BD" w:themeColor="accent1"/>
          <w:lang w:val="es-MX"/>
        </w:rPr>
      </w:pPr>
      <w:r w:rsidRPr="00760A2A">
        <w:rPr>
          <w:rFonts w:ascii="Arial" w:hAnsi="Arial" w:cs="Arial"/>
          <w:color w:val="4F81BD" w:themeColor="accent1"/>
          <w:lang w:val="es-MX"/>
        </w:rPr>
        <w:lastRenderedPageBreak/>
        <w:t xml:space="preserve">De conformidad con el artículo 2°, fracción VII, de la Ley General de Transparencia y Acceso a la Información Pública, una de sus finalidades es promover, fomentar y difundir la rendición de cuentas, la que debe ser entendida desde sus dos vertientes: la primera de ellas, consistente en determinar quién es el sujeto constreñido a rendir cuentas a la sociedad, y la segunda entendida como los alcances de ésta actividad. </w:t>
      </w:r>
    </w:p>
    <w:p w:rsidR="0014725B" w:rsidRPr="00760A2A" w:rsidRDefault="0014725B" w:rsidP="0014725B">
      <w:pPr>
        <w:rPr>
          <w:rFonts w:ascii="Arial" w:hAnsi="Arial" w:cs="Arial"/>
          <w:color w:val="4F81BD" w:themeColor="accent1"/>
        </w:rPr>
      </w:pPr>
      <w:r w:rsidRPr="00760A2A">
        <w:rPr>
          <w:rFonts w:ascii="Arial" w:hAnsi="Arial" w:cs="Arial"/>
          <w:color w:val="4F81BD" w:themeColor="accent1"/>
        </w:rPr>
        <w:tab/>
        <w:t>Es importante destacar, que la rendición de cuentas se encuentra íntimamente relacionada con el principio de máxima publicidad, que conlleva realizar un manejo de la información bajo la premisa inicial de que toda ella es pública y sólo por excepción, en los casos expresamente previstos en la legislación secundaria y justificados bajo determinadas circunstancias, se podrá clasificar como confidencial o reservada. Para reforzar lo anterior, se invoca el criterio sostenido por el Cuarto Tribunal Colegiado en Materia Administrativa del Primer Circuito en la tesis aislada I.4o.A.40 A (10a.), misma que establece:</w:t>
      </w:r>
    </w:p>
    <w:p w:rsidR="0014725B" w:rsidRPr="00760A2A" w:rsidRDefault="0014725B" w:rsidP="00FB1E6A">
      <w:pPr>
        <w:spacing w:before="240" w:line="240" w:lineRule="auto"/>
        <w:ind w:left="851" w:firstLine="851"/>
        <w:rPr>
          <w:rFonts w:ascii="Arial" w:hAnsi="Arial" w:cs="Arial"/>
          <w:i/>
          <w:color w:val="4F81BD" w:themeColor="accent1"/>
          <w:sz w:val="20"/>
          <w:szCs w:val="20"/>
        </w:rPr>
      </w:pPr>
      <w:r w:rsidRPr="00760A2A">
        <w:rPr>
          <w:rFonts w:ascii="Arial" w:hAnsi="Arial" w:cs="Arial"/>
          <w:b/>
          <w:i/>
          <w:color w:val="4F81BD" w:themeColor="accent1"/>
          <w:sz w:val="20"/>
          <w:szCs w:val="20"/>
        </w:rPr>
        <w:t>ACCESO A LA INFORMACIÓN. IMPLICACIÓN DEL PRINCIPIO DE MÁXIMA PUBLICIDAD EN EL DERECHO FUNDAMENTAL RELATIVO.</w:t>
      </w:r>
      <w:r w:rsidR="00FB1E6A" w:rsidRPr="00760A2A">
        <w:rPr>
          <w:rFonts w:ascii="Arial" w:hAnsi="Arial" w:cs="Arial"/>
          <w:b/>
          <w:i/>
          <w:color w:val="4F81BD" w:themeColor="accent1"/>
          <w:sz w:val="20"/>
          <w:szCs w:val="20"/>
        </w:rPr>
        <w:t xml:space="preserve"> </w:t>
      </w:r>
      <w:r w:rsidRPr="00760A2A">
        <w:rPr>
          <w:rFonts w:ascii="Arial" w:hAnsi="Arial" w:cs="Arial"/>
          <w:i/>
          <w:color w:val="4F81BD" w:themeColor="accent1"/>
          <w:sz w:val="20"/>
          <w:szCs w:val="20"/>
        </w:rPr>
        <w:t>Del artículo </w:t>
      </w:r>
      <w:hyperlink r:id="rId8" w:history="1">
        <w:r w:rsidRPr="00760A2A">
          <w:rPr>
            <w:rStyle w:val="Hipervnculo"/>
            <w:rFonts w:ascii="Arial" w:hAnsi="Arial" w:cs="Arial"/>
            <w:i/>
            <w:color w:val="4F81BD" w:themeColor="accent1"/>
            <w:sz w:val="20"/>
            <w:szCs w:val="20"/>
          </w:rPr>
          <w:t>6o. de la Constitución Política de los Estados Unidos Mexicanos</w:t>
        </w:r>
      </w:hyperlink>
      <w:r w:rsidRPr="00760A2A">
        <w:rPr>
          <w:rFonts w:ascii="Arial" w:hAnsi="Arial" w:cs="Arial"/>
          <w:i/>
          <w:color w:val="4F81BD" w:themeColor="accent1"/>
          <w:sz w:val="20"/>
          <w:szCs w:val="20"/>
        </w:rPr>
        <w:t> se advierte que el Estado Mexicano está constreñido a publicitar sus actos, pues se reconoce el derecho fundamental de los ciudadanos a acceder a la información que obra en poder de la autoridad, que como lo ha expuesto el Pleno de la Suprema Corte de Justicia de la Nación en la tesis P./J. 54/2008, publicada en el Semanario Judicial de la Federación y su Gaceta, Novena Época, Tomo XXVII, junio de 2008, página 743, de rubro: "</w:t>
      </w:r>
      <w:hyperlink r:id="rId9" w:tgtFrame="_popup" w:history="1">
        <w:r w:rsidRPr="00760A2A">
          <w:rPr>
            <w:rStyle w:val="Hipervnculo"/>
            <w:rFonts w:ascii="Arial" w:hAnsi="Arial" w:cs="Arial"/>
            <w:i/>
            <w:color w:val="4F81BD" w:themeColor="accent1"/>
            <w:sz w:val="20"/>
            <w:szCs w:val="20"/>
          </w:rPr>
          <w:t>ACCESO A LA INFORMACIÓN. SU NATURALEZA COMO GARANTÍAS INDIVIDUAL Y SOCIAL</w:t>
        </w:r>
      </w:hyperlink>
      <w:r w:rsidRPr="00760A2A">
        <w:rPr>
          <w:rFonts w:ascii="Arial" w:hAnsi="Arial" w:cs="Arial"/>
          <w:i/>
          <w:color w:val="4F81BD" w:themeColor="accent1"/>
          <w:sz w:val="20"/>
          <w:szCs w:val="20"/>
        </w:rPr>
        <w:t>.", contiene una doble dimensión: individual y social. En su primer aspecto, cumple con la función de maximizar el campo de la autonomía personal, posibilitando el ejercicio de la libertad de expresión en un contexto de mayor diversidad de datos, voces y opiniones, mientras que en el segundo, brinda un derecho colectivo o social que tiende a revelar el empleo instrumental de la información no sólo como factor de autorrealización personal, sino como un mecanismo de control institucional, pues se trata de un derecho fundado en una de las características principales del gobierno republicano, que es la publicidad de los actos de gobierno y la transparencia en el actuar de la administración, conducente y necesaria para la rendición de cuentas. Por ello, el principio de máxima publicidad incorporado en el texto constitucional, implica para cualquier autoridad, realizar un manejo de la información bajo la premisa inicial que toda ella es pública y sólo por excepción, en los casos expresamente previstos en la legislación secundaria y justificados bajo determinadas circunstancias, se podrá clasificar como confidencial o reservada, esto es, considerarla con una calidad diversa.</w:t>
      </w:r>
    </w:p>
    <w:p w:rsidR="0014725B" w:rsidRPr="00760A2A" w:rsidRDefault="0014725B" w:rsidP="0014725B">
      <w:pPr>
        <w:pStyle w:val="Textoindependienteprimerasangra"/>
        <w:spacing w:before="240"/>
        <w:ind w:firstLine="900"/>
        <w:rPr>
          <w:rFonts w:ascii="Arial" w:hAnsi="Arial" w:cs="Arial"/>
          <w:color w:val="4F81BD" w:themeColor="accent1"/>
          <w:lang w:val="es-MX"/>
        </w:rPr>
      </w:pPr>
      <w:r w:rsidRPr="00760A2A">
        <w:rPr>
          <w:rFonts w:ascii="Arial" w:hAnsi="Arial" w:cs="Arial"/>
          <w:color w:val="4F81BD" w:themeColor="accent1"/>
          <w:lang w:val="es-MX"/>
        </w:rPr>
        <w:lastRenderedPageBreak/>
        <w:t xml:space="preserve">Por lo anteriormente señalado, es de precisar que de conformidad con el artículo 11 de la Ley de Transparencia y Acceso a la Información Pública del Estado, toda la información en posesión de los sujetos obligados será pública, completa, oportuna, accesible, sujeta a un claro régimen de de excepciones que deberán estar definidas y ser además legítimas y estrictamente necesarias, y que para el caso de estar ante la presencia de una salvedad (clasificación o inexistencia) se deberá demostrar que la información está prevista con tal carácter a través de la justificación correspondiente. Para reforzar, resulta pertinente citar la tesis aislada </w:t>
      </w:r>
      <w:r w:rsidRPr="00760A2A">
        <w:rPr>
          <w:rFonts w:ascii="Arial" w:hAnsi="Arial" w:cs="Arial"/>
          <w:color w:val="4F81BD" w:themeColor="accent1"/>
        </w:rPr>
        <w:t>1a. VIII/2012 (10a.) en</w:t>
      </w:r>
      <w:r w:rsidRPr="00760A2A">
        <w:rPr>
          <w:rFonts w:ascii="Arial" w:hAnsi="Arial" w:cs="Arial"/>
          <w:color w:val="4F81BD" w:themeColor="accent1"/>
          <w:lang w:val="es-MX"/>
        </w:rPr>
        <w:t xml:space="preserve"> materia constitucional emitida por la Primera Sala de la Suprema Corte de Justicia de la Nación, que establece:</w:t>
      </w:r>
    </w:p>
    <w:p w:rsidR="0014725B" w:rsidRPr="00760A2A" w:rsidRDefault="0014725B" w:rsidP="0014725B">
      <w:pPr>
        <w:spacing w:line="240" w:lineRule="auto"/>
        <w:ind w:left="851" w:firstLine="851"/>
        <w:rPr>
          <w:rFonts w:ascii="Arial" w:hAnsi="Arial" w:cs="Arial"/>
          <w:i/>
          <w:color w:val="4F81BD" w:themeColor="accent1"/>
          <w:sz w:val="20"/>
          <w:szCs w:val="20"/>
        </w:rPr>
      </w:pPr>
      <w:r w:rsidRPr="00760A2A">
        <w:rPr>
          <w:rFonts w:ascii="Arial" w:hAnsi="Arial" w:cs="Arial"/>
          <w:b/>
          <w:i/>
          <w:color w:val="4F81BD" w:themeColor="accent1"/>
          <w:sz w:val="20"/>
          <w:szCs w:val="20"/>
        </w:rPr>
        <w:t>“INFORMACIÓN RESERVADA. LÍMITE AL DERECHO DE ACCESO A LA INFORMACIÓN (LEY FEDERAL DE TRANSPARENCIA Y ACCESO A LA INFORMACIÓN PÚBLICA GUBERNAMENTAL).</w:t>
      </w:r>
      <w:r w:rsidR="00FB1E6A" w:rsidRPr="00760A2A">
        <w:rPr>
          <w:rFonts w:ascii="Arial" w:hAnsi="Arial" w:cs="Arial"/>
          <w:b/>
          <w:i/>
          <w:color w:val="4F81BD" w:themeColor="accent1"/>
          <w:sz w:val="20"/>
          <w:szCs w:val="20"/>
        </w:rPr>
        <w:t xml:space="preserve"> </w:t>
      </w:r>
      <w:r w:rsidRPr="00760A2A">
        <w:rPr>
          <w:rFonts w:ascii="Arial" w:hAnsi="Arial" w:cs="Arial"/>
          <w:i/>
          <w:color w:val="4F81BD" w:themeColor="accent1"/>
          <w:sz w:val="20"/>
          <w:szCs w:val="20"/>
        </w:rPr>
        <w:t>Las </w:t>
      </w:r>
      <w:hyperlink r:id="rId10" w:history="1">
        <w:r w:rsidRPr="00760A2A">
          <w:rPr>
            <w:rStyle w:val="Hipervnculo"/>
            <w:rFonts w:ascii="Arial" w:hAnsi="Arial" w:cs="Arial"/>
            <w:i/>
            <w:color w:val="4F81BD" w:themeColor="accent1"/>
            <w:sz w:val="20"/>
            <w:szCs w:val="20"/>
          </w:rPr>
          <w:t>fracciones I y II del segundo párrafo del artículo 6o. de la Constitución Política de los Estados Unidos Mexicanos</w:t>
        </w:r>
      </w:hyperlink>
      <w:r w:rsidRPr="00760A2A">
        <w:rPr>
          <w:rFonts w:ascii="Arial" w:hAnsi="Arial" w:cs="Arial"/>
          <w:i/>
          <w:color w:val="4F81BD" w:themeColor="accent1"/>
          <w:sz w:val="20"/>
          <w:szCs w:val="20"/>
        </w:rPr>
        <w:t>, establecen que el derecho de acceso a la información puede limitarse en virtud del interés público y de la vida privada y los datos personales. Dichas fracciones sólo enuncian los fines constitucionalmente válidos o legítimos para establecer limitaciones al citado derecho, sin embargo, ambas remiten a la legislación secundaria para el desarrollo de los supuestos específicos en que procedan las excepciones que busquen proteger los bienes constitucionales enunciados como límites al derecho de acceso a la información. Así, en cumplimiento al mandato constitucional, la Ley Federal de Transparencia y Acceso a la Información Pública Gubernamental establece dos criterios bajo los cuales la información podrá clasificarse y, con ello, limitar el acceso de los particulares a la misma: el de información confidencial y el de información reservada. En lo que respecta al límite previsto en la Constitución, referente a la protección del interés público, los artículos </w:t>
      </w:r>
      <w:hyperlink r:id="rId11" w:history="1">
        <w:r w:rsidRPr="00760A2A">
          <w:rPr>
            <w:rStyle w:val="Hipervnculo"/>
            <w:rFonts w:ascii="Arial" w:hAnsi="Arial" w:cs="Arial"/>
            <w:i/>
            <w:color w:val="4F81BD" w:themeColor="accent1"/>
            <w:sz w:val="20"/>
            <w:szCs w:val="20"/>
          </w:rPr>
          <w:t>13 y 14</w:t>
        </w:r>
      </w:hyperlink>
      <w:r w:rsidRPr="00760A2A">
        <w:rPr>
          <w:rFonts w:ascii="Arial" w:hAnsi="Arial" w:cs="Arial"/>
          <w:i/>
          <w:color w:val="4F81BD" w:themeColor="accent1"/>
          <w:sz w:val="20"/>
          <w:szCs w:val="20"/>
        </w:rPr>
        <w:t xml:space="preserve"> de la ley establecieron como criterio de clasificación el de información reservada. El primero de los artículos citados establece un catálogo genérico de lineamientos bajo los cuales deberá reservarse la información, lo cual procederá cuando la difusión de la información pueda: 1) comprometer la seguridad nacional, la seguridad pública o la defensa nacional; 2) menoscabar negociaciones o relaciones internacionales; 3) dañar la estabilidad financiera, económica o monetaria del país; 4) poner en riesgo la vida, seguridad o salud de alguna persona; o 5) causar perjuicio al cumplimiento de las leyes, prevención o verificación de delitos, impartición de justicia, recaudación de contribuciones, control migratorio o a las estrategias procesales en procedimientos jurisdiccionales, mientras las resoluciones no causen estado. Por otro lado, con un enfoque más preciso que descriptivo, el artículo 14 de la Ley Federal de Transparencia y Acceso a la Información Pública Gubernamental contiene un catálogo ya no genérico, sino específico, de supuestos en los cuales la información también se considerará reservada: 1) la que expresamente se clasifique como confidencial, reservada, comercial reservada o gubernamental reservada; 2) secretos comercial, industrial, fiscal, bancario, fiduciario u otros; 3) averiguaciones previas; 4) expedientes jurisdiccionales que no hayan causado estado; 5) procedimientos de responsabilidad administrativa sin resolución definitiva; o 6) la que contenga opiniones, recomendaciones o puntos de vista de servidores públicos y que formen parte de un proceso deliberativo en el cual aún no se hubiese adoptado una decisión definitiva. Como evidencia el listado anterior, la ley enunció en su artículo 14 supuestos que, si bien pueden clasificarse dentro de los lineamientos genéricos establecidos en el artículo 13, el legislador quiso destacar de modo que no se </w:t>
      </w:r>
      <w:r w:rsidRPr="00760A2A">
        <w:rPr>
          <w:rFonts w:ascii="Arial" w:hAnsi="Arial" w:cs="Arial"/>
          <w:i/>
          <w:color w:val="4F81BD" w:themeColor="accent1"/>
          <w:sz w:val="20"/>
          <w:szCs w:val="20"/>
        </w:rPr>
        <w:lastRenderedPageBreak/>
        <w:t>presentasen dudas respecto a la necesidad de considerarlos como información reservada”.</w:t>
      </w:r>
    </w:p>
    <w:p w:rsidR="00164962" w:rsidRPr="00760A2A" w:rsidRDefault="0014725B" w:rsidP="0014725B">
      <w:pPr>
        <w:pStyle w:val="Textoindependienteprimerasangra"/>
        <w:spacing w:before="240"/>
        <w:ind w:firstLine="900"/>
        <w:rPr>
          <w:rFonts w:ascii="Arial" w:hAnsi="Arial" w:cs="Arial"/>
          <w:color w:val="4F81BD" w:themeColor="accent1"/>
          <w:lang w:val="es-MX"/>
        </w:rPr>
      </w:pPr>
      <w:r w:rsidRPr="00760A2A">
        <w:rPr>
          <w:rFonts w:ascii="Arial" w:hAnsi="Arial" w:cs="Arial"/>
          <w:color w:val="4F81BD" w:themeColor="accent1"/>
          <w:lang w:val="es-MX"/>
        </w:rPr>
        <w:t xml:space="preserve">En el presente asunto, el sujeto obligado señala que existe un </w:t>
      </w:r>
      <w:r w:rsidR="00FB1E6A" w:rsidRPr="00760A2A">
        <w:rPr>
          <w:rFonts w:ascii="Arial" w:hAnsi="Arial" w:cs="Arial"/>
          <w:color w:val="4F81BD" w:themeColor="accent1"/>
          <w:lang w:val="es-MX"/>
        </w:rPr>
        <w:t>impedimento para entregar la información solicitada en virtud de que dicha información se considera de carácter confidencial por contener datos personales en los términos de la normatividad aplicable</w:t>
      </w:r>
      <w:r w:rsidRPr="00760A2A">
        <w:rPr>
          <w:rFonts w:ascii="Arial" w:hAnsi="Arial" w:cs="Arial"/>
          <w:color w:val="4F81BD" w:themeColor="accent1"/>
          <w:lang w:val="es-MX"/>
        </w:rPr>
        <w:t xml:space="preserve">, y que por ello es susceptible de configurarse la hipótesis que invoca para sustentar la reserva; no obstante, </w:t>
      </w:r>
      <w:r w:rsidR="00164962" w:rsidRPr="00760A2A">
        <w:rPr>
          <w:rFonts w:ascii="Arial" w:hAnsi="Arial" w:cs="Arial"/>
          <w:color w:val="4F81BD" w:themeColor="accent1"/>
          <w:lang w:val="es-MX"/>
        </w:rPr>
        <w:t xml:space="preserve">del análisis de las manifestaciones del sujeto obligado, esta Comisión estima que conforme la </w:t>
      </w:r>
      <w:r w:rsidR="00845CFB" w:rsidRPr="00760A2A">
        <w:rPr>
          <w:rFonts w:ascii="Arial" w:hAnsi="Arial" w:cs="Arial"/>
          <w:color w:val="4F81BD" w:themeColor="accent1"/>
          <w:lang w:val="es-MX"/>
        </w:rPr>
        <w:t xml:space="preserve">naturaleza de la información requerida, no se justifica la reserva que refiere el sujeto obligado, en razón de lo siguiente: </w:t>
      </w:r>
    </w:p>
    <w:p w:rsidR="004101E6" w:rsidRPr="00760A2A" w:rsidRDefault="004101E6" w:rsidP="00760A2A">
      <w:pPr>
        <w:spacing w:before="240"/>
        <w:ind w:firstLine="708"/>
        <w:rPr>
          <w:rFonts w:ascii="Arial" w:hAnsi="Arial" w:cs="Arial"/>
          <w:b/>
          <w:color w:val="4F81BD" w:themeColor="accent1"/>
        </w:rPr>
      </w:pPr>
      <w:r w:rsidRPr="00760A2A">
        <w:rPr>
          <w:rFonts w:ascii="Arial" w:hAnsi="Arial" w:cs="Arial"/>
          <w:color w:val="4F81BD" w:themeColor="accent1"/>
        </w:rPr>
        <w:t xml:space="preserve">De conformidad con el numeral 3, fracción XXXV, la Ley de Transparencia y Acceso a la Información Pública del Estado de San Luis Potosí, define como Sujetos Obligados a cualquier autoridad, entidad, órgano y organismo de los poderes, Ejecutivo; Legislativo; y Judicial; órganos autónomos; partidos políticos; fideicomisos y fondos públicos, así como cualquier persona física, moral o sindicato que </w:t>
      </w:r>
      <w:r w:rsidRPr="00760A2A">
        <w:rPr>
          <w:rFonts w:ascii="Arial" w:hAnsi="Arial" w:cs="Arial"/>
          <w:b/>
          <w:color w:val="4F81BD" w:themeColor="accent1"/>
        </w:rPr>
        <w:t>reciba y ejerza recursos públicos o realice actos de autoridad en el ámbito estatal y munici</w:t>
      </w:r>
      <w:r w:rsidR="00AF2D8E" w:rsidRPr="00760A2A">
        <w:rPr>
          <w:rFonts w:ascii="Arial" w:hAnsi="Arial" w:cs="Arial"/>
          <w:b/>
          <w:color w:val="4F81BD" w:themeColor="accent1"/>
        </w:rPr>
        <w:t>pal.</w:t>
      </w:r>
    </w:p>
    <w:p w:rsidR="006F270B" w:rsidRPr="00760A2A" w:rsidRDefault="00164962" w:rsidP="00760A2A">
      <w:pPr>
        <w:spacing w:before="240"/>
        <w:ind w:firstLine="708"/>
        <w:rPr>
          <w:rFonts w:ascii="Arial" w:hAnsi="Arial" w:cs="Arial"/>
          <w:color w:val="4F81BD" w:themeColor="accent1"/>
        </w:rPr>
      </w:pPr>
      <w:r w:rsidRPr="00760A2A">
        <w:rPr>
          <w:rFonts w:ascii="Arial" w:hAnsi="Arial" w:cs="Arial"/>
          <w:color w:val="4F81BD" w:themeColor="accent1"/>
        </w:rPr>
        <w:t>En el caso concreto, s</w:t>
      </w:r>
      <w:r w:rsidR="00AF2D8E" w:rsidRPr="00760A2A">
        <w:rPr>
          <w:rFonts w:ascii="Arial" w:hAnsi="Arial" w:cs="Arial"/>
          <w:color w:val="4F81BD" w:themeColor="accent1"/>
        </w:rPr>
        <w:t xml:space="preserve">e estima que la publicidad de la información requerida, </w:t>
      </w:r>
      <w:r w:rsidRPr="00760A2A">
        <w:rPr>
          <w:rFonts w:ascii="Arial" w:hAnsi="Arial" w:cs="Arial"/>
          <w:color w:val="4F81BD" w:themeColor="accent1"/>
        </w:rPr>
        <w:t>difiere de la circunstan</w:t>
      </w:r>
      <w:r w:rsidR="00877649" w:rsidRPr="00760A2A">
        <w:rPr>
          <w:rFonts w:ascii="Arial" w:hAnsi="Arial" w:cs="Arial"/>
          <w:color w:val="4F81BD" w:themeColor="accent1"/>
        </w:rPr>
        <w:t xml:space="preserve">cia </w:t>
      </w:r>
      <w:r w:rsidR="00FC5F5E" w:rsidRPr="00760A2A">
        <w:rPr>
          <w:rFonts w:ascii="Arial" w:hAnsi="Arial" w:cs="Arial"/>
          <w:color w:val="4F81BD" w:themeColor="accent1"/>
        </w:rPr>
        <w:t xml:space="preserve">de </w:t>
      </w:r>
      <w:r w:rsidR="00877649" w:rsidRPr="00760A2A">
        <w:rPr>
          <w:rFonts w:ascii="Arial" w:hAnsi="Arial" w:cs="Arial"/>
          <w:color w:val="4F81BD" w:themeColor="accent1"/>
        </w:rPr>
        <w:t xml:space="preserve">que se trate de información confidencial, así como </w:t>
      </w:r>
      <w:r w:rsidR="00AF2D8E" w:rsidRPr="00760A2A">
        <w:rPr>
          <w:rFonts w:ascii="Arial" w:hAnsi="Arial" w:cs="Arial"/>
          <w:color w:val="4F81BD" w:themeColor="accent1"/>
        </w:rPr>
        <w:t xml:space="preserve">aquello que concierne a cualquier información, documentación, promociones, cargos, honorarios, plaza docente, ingresos económicos </w:t>
      </w:r>
      <w:r w:rsidR="00FC5F5E" w:rsidRPr="00760A2A">
        <w:rPr>
          <w:rFonts w:ascii="Arial" w:hAnsi="Arial" w:cs="Arial"/>
          <w:color w:val="4F81BD" w:themeColor="accent1"/>
        </w:rPr>
        <w:t xml:space="preserve">relativos al </w:t>
      </w:r>
      <w:r w:rsidR="00AF2D8E" w:rsidRPr="00760A2A">
        <w:rPr>
          <w:rFonts w:ascii="Arial" w:hAnsi="Arial" w:cs="Arial"/>
          <w:color w:val="4F81BD" w:themeColor="accent1"/>
        </w:rPr>
        <w:t>personal docente</w:t>
      </w:r>
      <w:r w:rsidR="00FC5F5E" w:rsidRPr="00760A2A">
        <w:rPr>
          <w:rFonts w:ascii="Arial" w:hAnsi="Arial" w:cs="Arial"/>
          <w:color w:val="4F81BD" w:themeColor="accent1"/>
        </w:rPr>
        <w:t xml:space="preserve"> del Instituto Tecnológico de Matehuala</w:t>
      </w:r>
      <w:r w:rsidR="006F270B" w:rsidRPr="00760A2A">
        <w:rPr>
          <w:rFonts w:ascii="Arial" w:hAnsi="Arial" w:cs="Arial"/>
          <w:color w:val="4F81BD" w:themeColor="accent1"/>
        </w:rPr>
        <w:t>.</w:t>
      </w:r>
    </w:p>
    <w:p w:rsidR="00AF2D8E" w:rsidRPr="00760A2A" w:rsidRDefault="006F270B" w:rsidP="00760A2A">
      <w:pPr>
        <w:spacing w:before="240"/>
        <w:ind w:firstLine="708"/>
        <w:rPr>
          <w:rFonts w:ascii="Arial" w:hAnsi="Arial" w:cs="Arial"/>
          <w:color w:val="4F81BD" w:themeColor="accent1"/>
        </w:rPr>
      </w:pPr>
      <w:r w:rsidRPr="00760A2A">
        <w:rPr>
          <w:rFonts w:ascii="Arial" w:hAnsi="Arial" w:cs="Arial"/>
          <w:color w:val="4F81BD" w:themeColor="accent1"/>
        </w:rPr>
        <w:t xml:space="preserve">En efecto, de una interpretación extensiva de la palabra “sujeto obligado” en materia de transparencia y acceso a la información pública, </w:t>
      </w:r>
      <w:r w:rsidR="00FC5F5E" w:rsidRPr="00760A2A">
        <w:rPr>
          <w:rFonts w:ascii="Arial" w:hAnsi="Arial" w:cs="Arial"/>
          <w:color w:val="4F81BD" w:themeColor="accent1"/>
        </w:rPr>
        <w:t>l</w:t>
      </w:r>
      <w:r w:rsidRPr="00760A2A">
        <w:rPr>
          <w:rFonts w:ascii="Arial" w:hAnsi="Arial" w:cs="Arial"/>
          <w:color w:val="4F81BD" w:themeColor="accent1"/>
        </w:rPr>
        <w:t xml:space="preserve">o requerido por el particular </w:t>
      </w:r>
      <w:r w:rsidR="00164962" w:rsidRPr="00760A2A">
        <w:rPr>
          <w:rFonts w:ascii="Arial" w:hAnsi="Arial" w:cs="Arial"/>
          <w:color w:val="4F81BD" w:themeColor="accent1"/>
        </w:rPr>
        <w:t>adqui</w:t>
      </w:r>
      <w:r w:rsidR="00FC5F5E" w:rsidRPr="00760A2A">
        <w:rPr>
          <w:rFonts w:ascii="Arial" w:hAnsi="Arial" w:cs="Arial"/>
          <w:color w:val="4F81BD" w:themeColor="accent1"/>
        </w:rPr>
        <w:t>ere la connotación de pública</w:t>
      </w:r>
      <w:r w:rsidRPr="00760A2A">
        <w:rPr>
          <w:rFonts w:ascii="Arial" w:hAnsi="Arial" w:cs="Arial"/>
          <w:color w:val="4F81BD" w:themeColor="accent1"/>
        </w:rPr>
        <w:t xml:space="preserve"> es decir</w:t>
      </w:r>
      <w:r w:rsidR="00164962" w:rsidRPr="00760A2A">
        <w:rPr>
          <w:rFonts w:ascii="Arial" w:hAnsi="Arial" w:cs="Arial"/>
          <w:color w:val="4F81BD" w:themeColor="accent1"/>
        </w:rPr>
        <w:t xml:space="preserve">, </w:t>
      </w:r>
      <w:r w:rsidRPr="00760A2A">
        <w:rPr>
          <w:rFonts w:ascii="Arial" w:hAnsi="Arial" w:cs="Arial"/>
          <w:color w:val="4F81BD" w:themeColor="accent1"/>
        </w:rPr>
        <w:t xml:space="preserve">el Instituto en su calidad de Sujeto Obligado, </w:t>
      </w:r>
      <w:r w:rsidR="00164962" w:rsidRPr="00760A2A">
        <w:rPr>
          <w:rFonts w:ascii="Arial" w:hAnsi="Arial" w:cs="Arial"/>
          <w:color w:val="4F81BD" w:themeColor="accent1"/>
        </w:rPr>
        <w:t>adqui</w:t>
      </w:r>
      <w:r w:rsidRPr="00760A2A">
        <w:rPr>
          <w:rFonts w:ascii="Arial" w:hAnsi="Arial" w:cs="Arial"/>
          <w:color w:val="4F81BD" w:themeColor="accent1"/>
        </w:rPr>
        <w:t>ere</w:t>
      </w:r>
      <w:r w:rsidR="00164962" w:rsidRPr="00760A2A">
        <w:rPr>
          <w:rFonts w:ascii="Arial" w:hAnsi="Arial" w:cs="Arial"/>
          <w:color w:val="4F81BD" w:themeColor="accent1"/>
        </w:rPr>
        <w:t xml:space="preserve"> obligaciones conforme al Capítulo II, denominado “De los Responsables en Cada Sujeto Obligado”, de la Ley de Transparencia y Acceso a la Información </w:t>
      </w:r>
      <w:r w:rsidR="00164962" w:rsidRPr="00760A2A">
        <w:rPr>
          <w:rFonts w:ascii="Arial" w:hAnsi="Arial" w:cs="Arial"/>
          <w:color w:val="4F81BD" w:themeColor="accent1"/>
        </w:rPr>
        <w:lastRenderedPageBreak/>
        <w:t xml:space="preserve">Pública del Estado, como lo es por ejemplo, integrar un Comité de Transparencia, elaborar un informe anual que deberá ser enviado a este Órgano Garante, en el que se dé cuenta de la aplicación de la Ley de Transparencia Local o bien atender las solicitudes de información que se le formulen al sujeto obligado, entre otras cosas, </w:t>
      </w:r>
      <w:r w:rsidR="00FC5F5E" w:rsidRPr="00760A2A">
        <w:rPr>
          <w:rFonts w:ascii="Arial" w:hAnsi="Arial" w:cs="Arial"/>
          <w:color w:val="4F81BD" w:themeColor="accent1"/>
        </w:rPr>
        <w:t xml:space="preserve">en el entendido de que </w:t>
      </w:r>
      <w:r w:rsidR="00164962" w:rsidRPr="00760A2A">
        <w:rPr>
          <w:rFonts w:ascii="Arial" w:hAnsi="Arial" w:cs="Arial"/>
          <w:color w:val="4F81BD" w:themeColor="accent1"/>
        </w:rPr>
        <w:t xml:space="preserve">la autoridad tiene la obligación de </w:t>
      </w:r>
      <w:r w:rsidR="00164962" w:rsidRPr="00760A2A">
        <w:rPr>
          <w:rFonts w:ascii="Arial" w:hAnsi="Arial" w:cs="Arial"/>
          <w:color w:val="4F81BD" w:themeColor="accent1"/>
          <w:szCs w:val="26"/>
        </w:rPr>
        <w:t>proporcionar la información que le sea solicitada a cualquier interesado, bajo la salvedad de que una vez que los recursos públicos ingresan al patrimonio de</w:t>
      </w:r>
      <w:r w:rsidR="00FC5F5E" w:rsidRPr="00760A2A">
        <w:rPr>
          <w:rFonts w:ascii="Arial" w:hAnsi="Arial" w:cs="Arial"/>
          <w:color w:val="4F81BD" w:themeColor="accent1"/>
          <w:szCs w:val="26"/>
        </w:rPr>
        <w:t>l Instituto Tecnológico de Matehuala</w:t>
      </w:r>
      <w:r w:rsidR="00164962" w:rsidRPr="00760A2A">
        <w:rPr>
          <w:rFonts w:ascii="Arial" w:hAnsi="Arial" w:cs="Arial"/>
          <w:color w:val="4F81BD" w:themeColor="accent1"/>
          <w:szCs w:val="26"/>
        </w:rPr>
        <w:t>, deberá atender</w:t>
      </w:r>
      <w:r w:rsidRPr="00760A2A">
        <w:rPr>
          <w:rFonts w:ascii="Arial" w:hAnsi="Arial" w:cs="Arial"/>
          <w:color w:val="4F81BD" w:themeColor="accent1"/>
          <w:szCs w:val="26"/>
        </w:rPr>
        <w:t xml:space="preserve"> a </w:t>
      </w:r>
      <w:r w:rsidR="00FC5F5E" w:rsidRPr="00760A2A">
        <w:rPr>
          <w:rFonts w:ascii="Arial" w:hAnsi="Arial" w:cs="Arial"/>
          <w:color w:val="4F81BD" w:themeColor="accent1"/>
          <w:szCs w:val="26"/>
        </w:rPr>
        <w:t xml:space="preserve">lo previsto por </w:t>
      </w:r>
      <w:r w:rsidR="00164962" w:rsidRPr="00760A2A">
        <w:rPr>
          <w:rFonts w:ascii="Arial" w:hAnsi="Arial" w:cs="Arial"/>
          <w:color w:val="4F81BD" w:themeColor="accent1"/>
          <w:szCs w:val="26"/>
        </w:rPr>
        <w:t>la Ley de Transparencia y Acceso a la Información Pública del Estado y las disposiciones relacionadas con la protección de datos personales, ya que como sujeto obligado, se tiene la obligación de garantizar el derecho de acceso a la información pública, sin más limitación que el respeto a la privacidad, el honor y la dignidad de</w:t>
      </w:r>
      <w:r w:rsidRPr="00760A2A">
        <w:rPr>
          <w:rFonts w:ascii="Arial" w:hAnsi="Arial" w:cs="Arial"/>
          <w:color w:val="4F81BD" w:themeColor="accent1"/>
          <w:szCs w:val="26"/>
        </w:rPr>
        <w:t xml:space="preserve"> </w:t>
      </w:r>
      <w:r w:rsidR="00164962" w:rsidRPr="00760A2A">
        <w:rPr>
          <w:rFonts w:ascii="Arial" w:hAnsi="Arial" w:cs="Arial"/>
          <w:color w:val="4F81BD" w:themeColor="accent1"/>
          <w:szCs w:val="26"/>
        </w:rPr>
        <w:t>l</w:t>
      </w:r>
      <w:r w:rsidRPr="00760A2A">
        <w:rPr>
          <w:rFonts w:ascii="Arial" w:hAnsi="Arial" w:cs="Arial"/>
          <w:color w:val="4F81BD" w:themeColor="accent1"/>
          <w:szCs w:val="26"/>
        </w:rPr>
        <w:t>os</w:t>
      </w:r>
      <w:r w:rsidR="00164962" w:rsidRPr="00760A2A">
        <w:rPr>
          <w:rFonts w:ascii="Arial" w:hAnsi="Arial" w:cs="Arial"/>
          <w:color w:val="4F81BD" w:themeColor="accent1"/>
          <w:szCs w:val="26"/>
        </w:rPr>
        <w:t xml:space="preserve"> titular</w:t>
      </w:r>
      <w:r w:rsidRPr="00760A2A">
        <w:rPr>
          <w:rFonts w:ascii="Arial" w:hAnsi="Arial" w:cs="Arial"/>
          <w:color w:val="4F81BD" w:themeColor="accent1"/>
          <w:szCs w:val="26"/>
        </w:rPr>
        <w:t>es</w:t>
      </w:r>
      <w:r w:rsidR="00164962" w:rsidRPr="00760A2A">
        <w:rPr>
          <w:rFonts w:ascii="Arial" w:hAnsi="Arial" w:cs="Arial"/>
          <w:color w:val="4F81BD" w:themeColor="accent1"/>
          <w:szCs w:val="26"/>
        </w:rPr>
        <w:t xml:space="preserve"> de los datos personales, que se encuentran en posesión de esta autoridad y sobre la que no puede realizarse ningún acto o hecho, sin la autorización debida de los titulares o sus representantes legales</w:t>
      </w:r>
      <w:r w:rsidRPr="00760A2A">
        <w:rPr>
          <w:rFonts w:ascii="Arial" w:hAnsi="Arial" w:cs="Arial"/>
          <w:color w:val="4F81BD" w:themeColor="accent1"/>
          <w:szCs w:val="26"/>
        </w:rPr>
        <w:t>; no obstante lo anterior, en el caso concreto, del análisis de la documentación solicitada, se advierte que la misma deviene de facultades, competencias y atribuciones que las normas que rigen el actuar administrativo de la autoridad confiere al referido Instituto</w:t>
      </w:r>
      <w:r w:rsidR="008A4B3D" w:rsidRPr="00760A2A">
        <w:rPr>
          <w:rFonts w:ascii="Arial" w:hAnsi="Arial" w:cs="Arial"/>
          <w:color w:val="4F81BD" w:themeColor="accent1"/>
          <w:szCs w:val="26"/>
        </w:rPr>
        <w:t>, por lo que es de señalarse al particular que l</w:t>
      </w:r>
      <w:r w:rsidR="00AF2D8E" w:rsidRPr="00760A2A">
        <w:rPr>
          <w:rFonts w:ascii="Arial" w:hAnsi="Arial" w:cs="Arial"/>
          <w:color w:val="4F81BD" w:themeColor="accent1"/>
        </w:rPr>
        <w:t>a documentación solicitada reviste de diversos elementos que no concierne</w:t>
      </w:r>
      <w:r w:rsidR="008A4B3D" w:rsidRPr="00760A2A">
        <w:rPr>
          <w:rFonts w:ascii="Arial" w:hAnsi="Arial" w:cs="Arial"/>
          <w:color w:val="4F81BD" w:themeColor="accent1"/>
        </w:rPr>
        <w:t xml:space="preserve">n a información que deba de clasificarse como confidencial; de ahí que, </w:t>
      </w:r>
      <w:r w:rsidR="00AF2D8E" w:rsidRPr="00760A2A">
        <w:rPr>
          <w:rFonts w:ascii="Arial" w:hAnsi="Arial" w:cs="Arial"/>
          <w:color w:val="4F81BD" w:themeColor="accent1"/>
        </w:rPr>
        <w:t xml:space="preserve">contrario a lo señalado por el sujeto obligado, el numeral 151 de la Ley de Transparencia y Acceso a la Información Pública del Estado de San Luis Potosí, los sujetos obligados deberán otorgar acceso a los documentos que se encuentren en sus archivos </w:t>
      </w:r>
      <w:r w:rsidR="00AF2D8E" w:rsidRPr="00760A2A">
        <w:rPr>
          <w:rFonts w:ascii="Arial" w:hAnsi="Arial" w:cs="Arial"/>
          <w:b/>
          <w:color w:val="4F81BD" w:themeColor="accent1"/>
        </w:rPr>
        <w:t>o que estén obligados a documentar de acuerdo con sus facultades, competencias o funciones</w:t>
      </w:r>
      <w:r w:rsidR="00AF2D8E" w:rsidRPr="00760A2A">
        <w:rPr>
          <w:rFonts w:ascii="Arial" w:hAnsi="Arial" w:cs="Arial"/>
          <w:color w:val="4F81BD" w:themeColor="accent1"/>
        </w:rPr>
        <w:t xml:space="preserve"> en el formato en que el solicitante manifieste, de entre aquellos formatos existentes, conforme a las características físicas de la información o del lugar donde se encuentre así lo permita.</w:t>
      </w:r>
    </w:p>
    <w:p w:rsidR="00FB1E6A" w:rsidRPr="00760A2A" w:rsidRDefault="0014725B" w:rsidP="0014725B">
      <w:pPr>
        <w:spacing w:before="240"/>
        <w:rPr>
          <w:rFonts w:ascii="Arial" w:hAnsi="Arial" w:cs="Arial"/>
          <w:color w:val="4F81BD" w:themeColor="accent1"/>
          <w:szCs w:val="26"/>
          <w:lang w:val="es-MX"/>
        </w:rPr>
      </w:pPr>
      <w:r w:rsidRPr="00760A2A">
        <w:rPr>
          <w:rFonts w:ascii="Arial" w:hAnsi="Arial" w:cs="Arial"/>
          <w:color w:val="4F81BD" w:themeColor="accent1"/>
        </w:rPr>
        <w:lastRenderedPageBreak/>
        <w:tab/>
      </w:r>
      <w:r w:rsidR="008A4B3D" w:rsidRPr="00760A2A">
        <w:rPr>
          <w:rFonts w:ascii="Arial" w:hAnsi="Arial" w:cs="Arial"/>
          <w:color w:val="4F81BD" w:themeColor="accent1"/>
        </w:rPr>
        <w:t xml:space="preserve">Por otra parte, es de señalarse que </w:t>
      </w:r>
      <w:r w:rsidR="008A4B3D" w:rsidRPr="00760A2A">
        <w:rPr>
          <w:rFonts w:ascii="Arial" w:hAnsi="Arial" w:cs="Arial"/>
          <w:color w:val="4F81BD" w:themeColor="accent1"/>
          <w:szCs w:val="26"/>
        </w:rPr>
        <w:t xml:space="preserve">de </w:t>
      </w:r>
      <w:r w:rsidRPr="00760A2A">
        <w:rPr>
          <w:rFonts w:ascii="Arial" w:hAnsi="Arial" w:cs="Arial"/>
          <w:color w:val="4F81BD" w:themeColor="accent1"/>
          <w:szCs w:val="26"/>
        </w:rPr>
        <w:t xml:space="preserve">la interpretación </w:t>
      </w:r>
      <w:r w:rsidR="00FB1E6A" w:rsidRPr="00760A2A">
        <w:rPr>
          <w:rFonts w:ascii="Arial" w:hAnsi="Arial" w:cs="Arial"/>
          <w:color w:val="4F81BD" w:themeColor="accent1"/>
          <w:szCs w:val="26"/>
        </w:rPr>
        <w:t xml:space="preserve">sistemática y armónica </w:t>
      </w:r>
      <w:r w:rsidRPr="00760A2A">
        <w:rPr>
          <w:rFonts w:ascii="Arial" w:hAnsi="Arial" w:cs="Arial"/>
          <w:color w:val="4F81BD" w:themeColor="accent1"/>
          <w:szCs w:val="26"/>
        </w:rPr>
        <w:t xml:space="preserve">de los artículos 117, 118, </w:t>
      </w:r>
      <w:r w:rsidRPr="00760A2A">
        <w:rPr>
          <w:rFonts w:ascii="Arial" w:hAnsi="Arial" w:cs="Arial"/>
          <w:color w:val="4F81BD" w:themeColor="accent1"/>
          <w:szCs w:val="26"/>
          <w:lang w:val="es-MX"/>
        </w:rPr>
        <w:t xml:space="preserve">129 y 130 de la Ley de Transparencia </w:t>
      </w:r>
      <w:r w:rsidR="008A4B3D" w:rsidRPr="00760A2A">
        <w:rPr>
          <w:rFonts w:ascii="Arial" w:hAnsi="Arial" w:cs="Arial"/>
          <w:color w:val="4F81BD" w:themeColor="accent1"/>
          <w:szCs w:val="26"/>
          <w:lang w:val="es-MX"/>
        </w:rPr>
        <w:t xml:space="preserve">Local, </w:t>
      </w:r>
      <w:r w:rsidRPr="00760A2A">
        <w:rPr>
          <w:rFonts w:ascii="Arial" w:hAnsi="Arial" w:cs="Arial"/>
          <w:color w:val="4F81BD" w:themeColor="accent1"/>
          <w:szCs w:val="26"/>
          <w:lang w:val="es-MX"/>
        </w:rPr>
        <w:t xml:space="preserve">se puede advertir que la clasificación, es un procedimiento complejo, pues no sólo basta </w:t>
      </w:r>
      <w:r w:rsidR="008A4B3D" w:rsidRPr="00760A2A">
        <w:rPr>
          <w:rFonts w:ascii="Arial" w:hAnsi="Arial" w:cs="Arial"/>
          <w:color w:val="4F81BD" w:themeColor="accent1"/>
          <w:szCs w:val="26"/>
          <w:lang w:val="es-MX"/>
        </w:rPr>
        <w:t xml:space="preserve">señalar que la misma es confidencial, sino que por el contrario, se deberá </w:t>
      </w:r>
      <w:r w:rsidRPr="00760A2A">
        <w:rPr>
          <w:rFonts w:ascii="Arial" w:hAnsi="Arial" w:cs="Arial"/>
          <w:color w:val="4F81BD" w:themeColor="accent1"/>
          <w:szCs w:val="26"/>
          <w:lang w:val="es-MX"/>
        </w:rPr>
        <w:t xml:space="preserve">acreditar que </w:t>
      </w:r>
      <w:r w:rsidR="008A4B3D" w:rsidRPr="00760A2A">
        <w:rPr>
          <w:rFonts w:ascii="Arial" w:hAnsi="Arial" w:cs="Arial"/>
          <w:color w:val="4F81BD" w:themeColor="accent1"/>
          <w:szCs w:val="26"/>
          <w:lang w:val="es-MX"/>
        </w:rPr>
        <w:t>conforme su naturaleza, se configura la</w:t>
      </w:r>
      <w:r w:rsidRPr="00760A2A">
        <w:rPr>
          <w:rFonts w:ascii="Arial" w:hAnsi="Arial" w:cs="Arial"/>
          <w:color w:val="4F81BD" w:themeColor="accent1"/>
          <w:szCs w:val="26"/>
          <w:lang w:val="es-MX"/>
        </w:rPr>
        <w:t xml:space="preserve"> hipótesis </w:t>
      </w:r>
      <w:r w:rsidR="008A4B3D" w:rsidRPr="00760A2A">
        <w:rPr>
          <w:rFonts w:ascii="Arial" w:hAnsi="Arial" w:cs="Arial"/>
          <w:color w:val="4F81BD" w:themeColor="accent1"/>
          <w:szCs w:val="26"/>
          <w:lang w:val="es-MX"/>
        </w:rPr>
        <w:t>invocada</w:t>
      </w:r>
      <w:r w:rsidRPr="00760A2A">
        <w:rPr>
          <w:rFonts w:ascii="Arial" w:hAnsi="Arial" w:cs="Arial"/>
          <w:color w:val="4F81BD" w:themeColor="accent1"/>
          <w:szCs w:val="26"/>
          <w:lang w:val="es-MX"/>
        </w:rPr>
        <w:t xml:space="preserve">, sino que además su divulgación represente una afectación </w:t>
      </w:r>
      <w:r w:rsidRPr="00760A2A">
        <w:rPr>
          <w:rFonts w:ascii="Arial" w:hAnsi="Arial" w:cs="Arial"/>
          <w:color w:val="4F81BD" w:themeColor="accent1"/>
          <w:szCs w:val="26"/>
        </w:rPr>
        <w:t>real, demostrable e identificable de perjuicio significativo al interés público</w:t>
      </w:r>
      <w:r w:rsidR="00FB1E6A" w:rsidRPr="00760A2A">
        <w:rPr>
          <w:rFonts w:ascii="Arial" w:hAnsi="Arial" w:cs="Arial"/>
          <w:color w:val="4F81BD" w:themeColor="accent1"/>
          <w:szCs w:val="26"/>
          <w:lang w:val="es-MX"/>
        </w:rPr>
        <w:t xml:space="preserve"> acreditada.</w:t>
      </w:r>
    </w:p>
    <w:p w:rsidR="00FB1E6A" w:rsidRPr="00760A2A" w:rsidRDefault="00FB1E6A" w:rsidP="0014725B">
      <w:pPr>
        <w:spacing w:before="240"/>
        <w:rPr>
          <w:rFonts w:ascii="Arial" w:hAnsi="Arial" w:cs="Arial"/>
          <w:color w:val="4F81BD" w:themeColor="accent1"/>
          <w:szCs w:val="26"/>
          <w:lang w:val="es-MX"/>
        </w:rPr>
      </w:pPr>
      <w:r w:rsidRPr="00760A2A">
        <w:rPr>
          <w:rFonts w:ascii="Arial" w:hAnsi="Arial" w:cs="Arial"/>
          <w:color w:val="4F81BD" w:themeColor="accent1"/>
          <w:szCs w:val="26"/>
          <w:lang w:val="es-MX"/>
        </w:rPr>
        <w:tab/>
      </w:r>
      <w:r w:rsidR="0014725B" w:rsidRPr="00760A2A">
        <w:rPr>
          <w:rFonts w:ascii="Arial" w:hAnsi="Arial" w:cs="Arial"/>
          <w:color w:val="4F81BD" w:themeColor="accent1"/>
          <w:szCs w:val="26"/>
          <w:lang w:val="es-MX"/>
        </w:rPr>
        <w:t xml:space="preserve">Al caso concreto, </w:t>
      </w:r>
      <w:r w:rsidRPr="00760A2A">
        <w:rPr>
          <w:rFonts w:ascii="Arial" w:hAnsi="Arial" w:cs="Arial"/>
          <w:color w:val="4F81BD" w:themeColor="accent1"/>
          <w:szCs w:val="26"/>
          <w:lang w:val="es-MX"/>
        </w:rPr>
        <w:t xml:space="preserve">de las constancias aportadas al presente sumario, se estima que el carácter de confidencialidad otorgado a la información solicitada, no se encuentra emitido con apego al numeral 138 de la Ley de Transparencia y Acceso a la Información Pública, ya que quién sustenta el mismo es el Director del Instituto Tecnológico de Matehuala y no así el Comité de Transparencia de la Institución educativa de referencia. </w:t>
      </w:r>
    </w:p>
    <w:p w:rsidR="0014725B" w:rsidRPr="00760A2A" w:rsidRDefault="00FB1E6A" w:rsidP="00BA1DB1">
      <w:pPr>
        <w:spacing w:before="240"/>
        <w:rPr>
          <w:rFonts w:ascii="Arial" w:hAnsi="Arial" w:cs="Arial"/>
          <w:color w:val="4F81BD" w:themeColor="accent1"/>
          <w:szCs w:val="26"/>
          <w:lang w:val="es-MX"/>
        </w:rPr>
      </w:pPr>
      <w:r w:rsidRPr="00760A2A">
        <w:rPr>
          <w:rFonts w:ascii="Arial" w:hAnsi="Arial" w:cs="Arial"/>
          <w:color w:val="4F81BD" w:themeColor="accent1"/>
          <w:szCs w:val="26"/>
          <w:lang w:val="es-MX"/>
        </w:rPr>
        <w:tab/>
        <w:t xml:space="preserve">En efecto, conforme lo establecido en el artículo 52, fracción </w:t>
      </w:r>
      <w:r w:rsidRPr="00760A2A">
        <w:rPr>
          <w:rFonts w:ascii="Arial" w:hAnsi="Arial" w:cs="Arial"/>
          <w:color w:val="4F81BD" w:themeColor="accent1"/>
        </w:rPr>
        <w:t xml:space="preserve">II de la Ley de la materia, es una obligación del Comité de Transparencia del sujeto obligado </w:t>
      </w:r>
      <w:r w:rsidRPr="00760A2A">
        <w:rPr>
          <w:rFonts w:ascii="Arial" w:hAnsi="Arial" w:cs="Arial"/>
          <w:b/>
          <w:color w:val="4F81BD" w:themeColor="accent1"/>
        </w:rPr>
        <w:t>confirmar, modificar o revocar</w:t>
      </w:r>
      <w:r w:rsidRPr="00760A2A">
        <w:rPr>
          <w:rFonts w:ascii="Arial" w:hAnsi="Arial" w:cs="Arial"/>
          <w:color w:val="4F81BD" w:themeColor="accent1"/>
        </w:rPr>
        <w:t xml:space="preserve"> las determinaciones que en materia de ampliación del plazo de respuesta, </w:t>
      </w:r>
      <w:r w:rsidRPr="00760A2A">
        <w:rPr>
          <w:rFonts w:ascii="Arial" w:hAnsi="Arial" w:cs="Arial"/>
          <w:b/>
          <w:color w:val="4F81BD" w:themeColor="accent1"/>
        </w:rPr>
        <w:t xml:space="preserve">clasificación de la información </w:t>
      </w:r>
      <w:r w:rsidRPr="00760A2A">
        <w:rPr>
          <w:rFonts w:ascii="Arial" w:hAnsi="Arial" w:cs="Arial"/>
          <w:color w:val="4F81BD" w:themeColor="accent1"/>
        </w:rPr>
        <w:t>y declaración de inexistencia o de incompetencia realicen los titulares de las</w:t>
      </w:r>
      <w:r w:rsidR="00BA1DB1" w:rsidRPr="00760A2A">
        <w:rPr>
          <w:rFonts w:ascii="Arial" w:hAnsi="Arial" w:cs="Arial"/>
          <w:color w:val="4F81BD" w:themeColor="accent1"/>
        </w:rPr>
        <w:t xml:space="preserve"> áreas de los sujetos obligados; tal y como se puede constatar, en la presente causa el </w:t>
      </w:r>
      <w:r w:rsidR="0014725B" w:rsidRPr="00760A2A">
        <w:rPr>
          <w:rFonts w:ascii="Arial" w:hAnsi="Arial" w:cs="Arial"/>
          <w:color w:val="4F81BD" w:themeColor="accent1"/>
          <w:szCs w:val="26"/>
          <w:lang w:val="es-MX"/>
        </w:rPr>
        <w:t xml:space="preserve">Comité de Transparencia </w:t>
      </w:r>
      <w:r w:rsidR="00BA1DB1" w:rsidRPr="00760A2A">
        <w:rPr>
          <w:rFonts w:ascii="Arial" w:hAnsi="Arial" w:cs="Arial"/>
          <w:color w:val="4F81BD" w:themeColor="accent1"/>
          <w:szCs w:val="26"/>
          <w:lang w:val="es-MX"/>
        </w:rPr>
        <w:t xml:space="preserve">no emitió pronunciamiento alguno respecto de la clasificación de la información, ni tampoco así </w:t>
      </w:r>
      <w:r w:rsidR="0014725B" w:rsidRPr="00760A2A">
        <w:rPr>
          <w:rFonts w:ascii="Arial" w:hAnsi="Arial" w:cs="Arial"/>
          <w:color w:val="4F81BD" w:themeColor="accent1"/>
          <w:szCs w:val="26"/>
          <w:lang w:val="es-MX"/>
        </w:rPr>
        <w:t xml:space="preserve">expresó que al ser revelada la información podría generar un daño o alteraciones al procedimiento que se reserva, sin que </w:t>
      </w:r>
      <w:r w:rsidR="00BA1DB1" w:rsidRPr="00760A2A">
        <w:rPr>
          <w:rFonts w:ascii="Arial" w:hAnsi="Arial" w:cs="Arial"/>
          <w:color w:val="4F81BD" w:themeColor="accent1"/>
          <w:szCs w:val="26"/>
          <w:lang w:val="es-MX"/>
        </w:rPr>
        <w:t>tampoco se</w:t>
      </w:r>
      <w:r w:rsidR="0014725B" w:rsidRPr="00760A2A">
        <w:rPr>
          <w:rFonts w:ascii="Arial" w:hAnsi="Arial" w:cs="Arial"/>
          <w:color w:val="4F81BD" w:themeColor="accent1"/>
          <w:szCs w:val="26"/>
          <w:lang w:val="es-MX"/>
        </w:rPr>
        <w:t xml:space="preserve"> especificara cual es la afectación que podría resultar de su divulgación y el por qué esta supusiera un afectac</w:t>
      </w:r>
      <w:r w:rsidR="00BA1DB1" w:rsidRPr="00760A2A">
        <w:rPr>
          <w:rFonts w:ascii="Arial" w:hAnsi="Arial" w:cs="Arial"/>
          <w:color w:val="4F81BD" w:themeColor="accent1"/>
          <w:szCs w:val="26"/>
          <w:lang w:val="es-MX"/>
        </w:rPr>
        <w:t>ión al interés público. Menos aú</w:t>
      </w:r>
      <w:r w:rsidR="0014725B" w:rsidRPr="00760A2A">
        <w:rPr>
          <w:rFonts w:ascii="Arial" w:hAnsi="Arial" w:cs="Arial"/>
          <w:color w:val="4F81BD" w:themeColor="accent1"/>
          <w:szCs w:val="26"/>
          <w:lang w:val="es-MX"/>
        </w:rPr>
        <w:t>n ponderó porque la reserva total que efectuó supone ser el medio menos restrictivo para evitar el perjuicio.</w:t>
      </w:r>
    </w:p>
    <w:p w:rsidR="0014725B" w:rsidRPr="00760A2A" w:rsidRDefault="0014725B" w:rsidP="0014725B">
      <w:pPr>
        <w:spacing w:before="240"/>
        <w:rPr>
          <w:rFonts w:ascii="Arial" w:hAnsi="Arial" w:cs="Arial"/>
          <w:color w:val="4F81BD" w:themeColor="accent1"/>
          <w:szCs w:val="26"/>
          <w:lang w:val="es-MX"/>
        </w:rPr>
      </w:pPr>
      <w:r w:rsidRPr="00760A2A">
        <w:rPr>
          <w:rFonts w:ascii="Arial" w:hAnsi="Arial" w:cs="Arial"/>
          <w:color w:val="4F81BD" w:themeColor="accent1"/>
          <w:szCs w:val="26"/>
          <w:lang w:val="es-MX"/>
        </w:rPr>
        <w:tab/>
        <w:t xml:space="preserve">La consecuencia de no justificar la fundamentación y motivación de la reserva conforme a la aplicación de la prueba de daño consiste en que </w:t>
      </w:r>
      <w:r w:rsidRPr="00760A2A">
        <w:rPr>
          <w:rFonts w:ascii="Arial" w:hAnsi="Arial" w:cs="Arial"/>
          <w:color w:val="4F81BD" w:themeColor="accent1"/>
          <w:szCs w:val="26"/>
          <w:lang w:val="es-MX"/>
        </w:rPr>
        <w:lastRenderedPageBreak/>
        <w:t>no se sustenta la reserva pues no se acreditó la afectación al interés público, que es el bien jurídico tutelado por la excepción que nos ocupa, lo cual implica un vicio en el acuerdo que nos ocupa. El vicio del cual adolece el acuerdo de reserva trae consigo que no se acredite la causal de reserva invocada y por ello no subsiste la excepción hecha valer.</w:t>
      </w:r>
    </w:p>
    <w:p w:rsidR="00247933" w:rsidRPr="00760A2A" w:rsidRDefault="0014725B" w:rsidP="0014725B">
      <w:pPr>
        <w:spacing w:before="240"/>
        <w:rPr>
          <w:rFonts w:ascii="Arial" w:hAnsi="Arial" w:cs="Arial"/>
          <w:color w:val="4F81BD" w:themeColor="accent1"/>
        </w:rPr>
      </w:pPr>
      <w:r w:rsidRPr="00760A2A">
        <w:rPr>
          <w:rFonts w:ascii="Arial" w:hAnsi="Arial" w:cs="Arial"/>
          <w:color w:val="4F81BD" w:themeColor="accent1"/>
          <w:szCs w:val="26"/>
          <w:lang w:val="es-MX"/>
        </w:rPr>
        <w:tab/>
        <w:t>Esta Comisión estima que la información solicitada por el particular, referente a</w:t>
      </w:r>
      <w:r w:rsidR="00BA1DB1" w:rsidRPr="00760A2A">
        <w:rPr>
          <w:rFonts w:ascii="Arial" w:hAnsi="Arial" w:cs="Arial"/>
          <w:color w:val="4F81BD" w:themeColor="accent1"/>
          <w:szCs w:val="26"/>
          <w:lang w:val="es-MX"/>
        </w:rPr>
        <w:t xml:space="preserve"> los nombramientos de la Comisión Dictaminadora, la relación del personal docente que participo en la Convocatoria de concurso cerrado del Instituto Tecnológico de Matehuala; el informe de personal docente de dicha institución, en la que se reflejen diversa información, </w:t>
      </w:r>
      <w:r w:rsidR="00B54AC3" w:rsidRPr="00760A2A">
        <w:rPr>
          <w:rFonts w:ascii="Arial" w:hAnsi="Arial" w:cs="Arial"/>
          <w:color w:val="4F81BD" w:themeColor="accent1"/>
          <w:szCs w:val="26"/>
          <w:lang w:val="es-MX"/>
        </w:rPr>
        <w:t>así</w:t>
      </w:r>
      <w:r w:rsidR="00BA1DB1" w:rsidRPr="00760A2A">
        <w:rPr>
          <w:rFonts w:ascii="Arial" w:hAnsi="Arial" w:cs="Arial"/>
          <w:color w:val="4F81BD" w:themeColor="accent1"/>
          <w:szCs w:val="26"/>
          <w:lang w:val="es-MX"/>
        </w:rPr>
        <w:t xml:space="preserve"> como las copias de las estructura educativa DPPI de enero a junio de 2012 a 2017 y la referente a ag</w:t>
      </w:r>
      <w:r w:rsidR="00B54AC3" w:rsidRPr="00760A2A">
        <w:rPr>
          <w:rFonts w:ascii="Arial" w:hAnsi="Arial" w:cs="Arial"/>
          <w:color w:val="4F81BD" w:themeColor="accent1"/>
          <w:szCs w:val="26"/>
          <w:lang w:val="es-MX"/>
        </w:rPr>
        <w:t xml:space="preserve">osto a diciembre de 2016 a 2016; atento lo expuesto, </w:t>
      </w:r>
      <w:r w:rsidRPr="00760A2A">
        <w:rPr>
          <w:rFonts w:ascii="Arial" w:hAnsi="Arial" w:cs="Arial"/>
          <w:color w:val="4F81BD" w:themeColor="accent1"/>
          <w:szCs w:val="26"/>
          <w:lang w:val="es-MX"/>
        </w:rPr>
        <w:t xml:space="preserve">el tema del que se trata </w:t>
      </w:r>
      <w:r w:rsidR="00B54AC3" w:rsidRPr="00760A2A">
        <w:rPr>
          <w:rFonts w:ascii="Arial" w:hAnsi="Arial" w:cs="Arial"/>
          <w:color w:val="4F81BD" w:themeColor="accent1"/>
          <w:szCs w:val="26"/>
          <w:lang w:val="es-MX"/>
        </w:rPr>
        <w:t xml:space="preserve">la información solicitada </w:t>
      </w:r>
      <w:r w:rsidRPr="00760A2A">
        <w:rPr>
          <w:rFonts w:ascii="Arial" w:hAnsi="Arial" w:cs="Arial"/>
          <w:color w:val="4F81BD" w:themeColor="accent1"/>
          <w:szCs w:val="26"/>
          <w:lang w:val="es-MX"/>
        </w:rPr>
        <w:t>es de transcendencia para la sociedad</w:t>
      </w:r>
      <w:r w:rsidR="00247933" w:rsidRPr="00760A2A">
        <w:rPr>
          <w:rFonts w:ascii="Arial" w:hAnsi="Arial" w:cs="Arial"/>
          <w:color w:val="4F81BD" w:themeColor="accent1"/>
          <w:szCs w:val="26"/>
          <w:lang w:val="es-MX"/>
        </w:rPr>
        <w:t xml:space="preserve">, lo cual aunado a los objetivos de la </w:t>
      </w:r>
      <w:r w:rsidR="00247933" w:rsidRPr="00760A2A">
        <w:rPr>
          <w:rFonts w:ascii="Arial" w:hAnsi="Arial" w:cs="Arial"/>
          <w:color w:val="4F81BD" w:themeColor="accent1"/>
        </w:rPr>
        <w:t>Ley de Transparencia y Acceso a la Información Pública del Estado, la cual  se constituye como una herramienta efectiva, por la cual se da un fuerte impulso al derecho de acceso a la información en la Entidad, coadyuvando con ello en la construcción de una sociedad cada vez más inmersa y participativa en el escrutinio de los asuntos del Estado; incidiendo directamente en la rendición de cuentas, así como en la disminución del impacto negativo que tienen la falta de transparencia, y la corrupción.</w:t>
      </w:r>
    </w:p>
    <w:p w:rsidR="00247933" w:rsidRPr="00760A2A" w:rsidRDefault="00247933" w:rsidP="00247933">
      <w:pPr>
        <w:spacing w:before="240"/>
        <w:ind w:firstLine="708"/>
        <w:rPr>
          <w:rFonts w:ascii="Arial" w:hAnsi="Arial" w:cs="Arial"/>
          <w:color w:val="4F81BD" w:themeColor="accent1"/>
          <w:szCs w:val="26"/>
          <w:lang w:val="es-MX"/>
        </w:rPr>
      </w:pPr>
      <w:r w:rsidRPr="00760A2A">
        <w:rPr>
          <w:rFonts w:ascii="Arial" w:hAnsi="Arial" w:cs="Arial"/>
          <w:color w:val="4F81BD" w:themeColor="accent1"/>
          <w:szCs w:val="26"/>
        </w:rPr>
        <w:t xml:space="preserve">Con independencia de lo anterior, el Instituto Tecnológico, tiene obligación de recibir y dar trámite las solicitudes de información que le sean presentadas, por lo que en aras de hacer efectivo el derecho de acceso a la información de la peticionaria, el sujeto obligado deberá determinar cuáles son los trámites y gestiones que deberán realizarse para atender las solicitudes de información, así como el costo que implicaría (si es el caso), la </w:t>
      </w:r>
      <w:r w:rsidR="00101229" w:rsidRPr="00760A2A">
        <w:rPr>
          <w:rFonts w:ascii="Arial" w:hAnsi="Arial" w:cs="Arial"/>
          <w:color w:val="4F81BD" w:themeColor="accent1"/>
          <w:szCs w:val="26"/>
        </w:rPr>
        <w:t xml:space="preserve">reproducción </w:t>
      </w:r>
      <w:r w:rsidRPr="00760A2A">
        <w:rPr>
          <w:rFonts w:ascii="Arial" w:hAnsi="Arial" w:cs="Arial"/>
          <w:color w:val="4F81BD" w:themeColor="accent1"/>
          <w:szCs w:val="26"/>
        </w:rPr>
        <w:t xml:space="preserve">de la información, </w:t>
      </w:r>
      <w:r w:rsidRPr="00760A2A">
        <w:rPr>
          <w:rFonts w:ascii="Arial" w:hAnsi="Arial" w:cs="Arial"/>
          <w:b/>
          <w:color w:val="4F81BD" w:themeColor="accent1"/>
          <w:szCs w:val="26"/>
        </w:rPr>
        <w:t xml:space="preserve">misma que habrá de cubrirse de manera previa a la entrega, </w:t>
      </w:r>
      <w:r w:rsidRPr="00760A2A">
        <w:rPr>
          <w:rFonts w:ascii="Arial" w:hAnsi="Arial" w:cs="Arial"/>
          <w:color w:val="4F81BD" w:themeColor="accent1"/>
          <w:szCs w:val="26"/>
        </w:rPr>
        <w:t xml:space="preserve">conforme a lo establecido por el los artículos 54, fracciones II y IV y el numeral 165 de </w:t>
      </w:r>
      <w:r w:rsidRPr="00760A2A">
        <w:rPr>
          <w:rFonts w:ascii="Arial" w:hAnsi="Arial" w:cs="Arial"/>
          <w:color w:val="4F81BD" w:themeColor="accent1"/>
          <w:szCs w:val="26"/>
        </w:rPr>
        <w:lastRenderedPageBreak/>
        <w:t xml:space="preserve">la Ley de Transparencia y Acceso a la Información Pública del Estado de San Luis potosí.  </w:t>
      </w:r>
    </w:p>
    <w:p w:rsidR="0014725B" w:rsidRPr="00760A2A" w:rsidRDefault="00247933" w:rsidP="00247933">
      <w:pPr>
        <w:spacing w:before="240"/>
        <w:rPr>
          <w:rFonts w:ascii="Arial" w:hAnsi="Arial" w:cs="Arial"/>
          <w:color w:val="4F81BD" w:themeColor="accent1"/>
          <w:szCs w:val="26"/>
        </w:rPr>
      </w:pPr>
      <w:r w:rsidRPr="00760A2A">
        <w:rPr>
          <w:rFonts w:ascii="Arial" w:hAnsi="Arial" w:cs="Arial"/>
          <w:color w:val="4F81BD" w:themeColor="accent1"/>
          <w:szCs w:val="26"/>
          <w:lang w:val="es-MX"/>
        </w:rPr>
        <w:tab/>
      </w:r>
      <w:r w:rsidR="0014725B" w:rsidRPr="00760A2A">
        <w:rPr>
          <w:rFonts w:ascii="Arial" w:hAnsi="Arial" w:cs="Arial"/>
          <w:color w:val="4F81BD" w:themeColor="accent1"/>
          <w:szCs w:val="26"/>
        </w:rPr>
        <w:t xml:space="preserve">En conclusión, con fundamento en el artículo 175, fracción III, de la Ley de Transparencia y acceso a la Información Pública del Estado, se </w:t>
      </w:r>
      <w:r w:rsidRPr="00760A2A">
        <w:rPr>
          <w:rFonts w:ascii="Arial" w:hAnsi="Arial" w:cs="Arial"/>
          <w:color w:val="4F81BD" w:themeColor="accent1"/>
          <w:szCs w:val="26"/>
        </w:rPr>
        <w:t>revoca</w:t>
      </w:r>
      <w:r w:rsidR="0014725B" w:rsidRPr="00760A2A">
        <w:rPr>
          <w:rFonts w:ascii="Arial" w:hAnsi="Arial" w:cs="Arial"/>
          <w:color w:val="4F81BD" w:themeColor="accent1"/>
          <w:szCs w:val="26"/>
        </w:rPr>
        <w:t xml:space="preserve"> la respuesta del sujeto obligado, ya que ésta encuadró en la hipótesis prevista por el artículo 167, fracción I, de la citada Ley, y se lo conmina para que:</w:t>
      </w:r>
    </w:p>
    <w:p w:rsidR="00247933" w:rsidRPr="00760A2A" w:rsidRDefault="0014725B" w:rsidP="0014725B">
      <w:pPr>
        <w:pStyle w:val="Prrafodelista"/>
        <w:numPr>
          <w:ilvl w:val="0"/>
          <w:numId w:val="15"/>
        </w:numPr>
        <w:spacing w:before="240"/>
        <w:rPr>
          <w:rFonts w:ascii="Arial" w:hAnsi="Arial" w:cs="Arial"/>
          <w:color w:val="4F81BD" w:themeColor="accent1"/>
          <w:szCs w:val="26"/>
        </w:rPr>
      </w:pPr>
      <w:r w:rsidRPr="00760A2A">
        <w:rPr>
          <w:rFonts w:ascii="Arial" w:hAnsi="Arial" w:cs="Arial"/>
          <w:color w:val="4F81BD" w:themeColor="accent1"/>
          <w:szCs w:val="26"/>
        </w:rPr>
        <w:t>Proporcione a</w:t>
      </w:r>
      <w:r w:rsidR="00247933" w:rsidRPr="00760A2A">
        <w:rPr>
          <w:rFonts w:ascii="Arial" w:hAnsi="Arial" w:cs="Arial"/>
          <w:color w:val="4F81BD" w:themeColor="accent1"/>
          <w:szCs w:val="26"/>
        </w:rPr>
        <w:t xml:space="preserve"> </w:t>
      </w:r>
      <w:r w:rsidRPr="00760A2A">
        <w:rPr>
          <w:rFonts w:ascii="Arial" w:hAnsi="Arial" w:cs="Arial"/>
          <w:color w:val="4F81BD" w:themeColor="accent1"/>
          <w:szCs w:val="26"/>
        </w:rPr>
        <w:t>l</w:t>
      </w:r>
      <w:r w:rsidR="00247933" w:rsidRPr="00760A2A">
        <w:rPr>
          <w:rFonts w:ascii="Arial" w:hAnsi="Arial" w:cs="Arial"/>
          <w:color w:val="4F81BD" w:themeColor="accent1"/>
          <w:szCs w:val="26"/>
        </w:rPr>
        <w:t>a</w:t>
      </w:r>
      <w:r w:rsidRPr="00760A2A">
        <w:rPr>
          <w:rFonts w:ascii="Arial" w:hAnsi="Arial" w:cs="Arial"/>
          <w:color w:val="4F81BD" w:themeColor="accent1"/>
          <w:szCs w:val="26"/>
        </w:rPr>
        <w:t xml:space="preserve"> particular</w:t>
      </w:r>
      <w:r w:rsidR="00247933" w:rsidRPr="00760A2A">
        <w:rPr>
          <w:rFonts w:ascii="Arial" w:hAnsi="Arial" w:cs="Arial"/>
          <w:color w:val="4F81BD" w:themeColor="accent1"/>
          <w:szCs w:val="26"/>
        </w:rPr>
        <w:t xml:space="preserve"> la información solicitada.</w:t>
      </w:r>
    </w:p>
    <w:p w:rsidR="00247933" w:rsidRPr="00760A2A" w:rsidRDefault="00247933" w:rsidP="00247933">
      <w:pPr>
        <w:pStyle w:val="Prrafodelista"/>
        <w:numPr>
          <w:ilvl w:val="0"/>
          <w:numId w:val="15"/>
        </w:numPr>
        <w:spacing w:after="200"/>
        <w:rPr>
          <w:rFonts w:ascii="Arial" w:hAnsi="Arial" w:cs="Arial"/>
          <w:color w:val="4F81BD" w:themeColor="accent1"/>
          <w:szCs w:val="26"/>
          <w:lang w:val="es-MX"/>
        </w:rPr>
      </w:pPr>
      <w:r w:rsidRPr="00760A2A">
        <w:rPr>
          <w:rFonts w:ascii="Arial" w:hAnsi="Arial" w:cs="Arial"/>
          <w:color w:val="4F81BD" w:themeColor="accent1"/>
          <w:szCs w:val="26"/>
        </w:rPr>
        <w:t xml:space="preserve">Atento a lo anterior, la Unidad de Transparencia del Instituto Tecnológico de Matehuala,  deberá de eliminar u omitir las partes o secciones que contengan información clasificada como datos personales o confidenciales, en el entendido de que dichos apartados que sean sujetos a eliminar u omitir, deberán de ubicarse en el supuesto que refieren los numerales </w:t>
      </w:r>
      <w:r w:rsidRPr="00760A2A">
        <w:rPr>
          <w:rFonts w:ascii="Arial" w:hAnsi="Arial" w:cs="Arial"/>
          <w:color w:val="4F81BD" w:themeColor="accent1"/>
          <w:szCs w:val="26"/>
          <w:lang w:val="es-MX"/>
        </w:rPr>
        <w:t xml:space="preserve">3º fracciones XI, XVII y XXVII y 138 de la Ley de Transparencia y Acceso a la Información Pública del Estado de San Luis Potosí, así como los lineamientos </w:t>
      </w:r>
      <w:r w:rsidRPr="00760A2A">
        <w:rPr>
          <w:rFonts w:ascii="Arial" w:hAnsi="Arial" w:cs="Arial"/>
          <w:bCs/>
          <w:color w:val="4F81BD" w:themeColor="accent1"/>
          <w:szCs w:val="26"/>
          <w:shd w:val="clear" w:color="auto" w:fill="FFFFFF"/>
        </w:rPr>
        <w:t>generales en materia de clasificación y desclasificación de la información, así como para la elaboración de versiones públicas.</w:t>
      </w:r>
    </w:p>
    <w:p w:rsidR="00247933" w:rsidRPr="00760A2A" w:rsidRDefault="00247933" w:rsidP="0014725B">
      <w:pPr>
        <w:pStyle w:val="Prrafodelista"/>
        <w:numPr>
          <w:ilvl w:val="0"/>
          <w:numId w:val="15"/>
        </w:numPr>
        <w:spacing w:before="240"/>
        <w:rPr>
          <w:rFonts w:ascii="Arial" w:hAnsi="Arial" w:cs="Arial"/>
          <w:color w:val="4F81BD" w:themeColor="accent1"/>
          <w:szCs w:val="26"/>
        </w:rPr>
      </w:pPr>
      <w:r w:rsidRPr="00760A2A">
        <w:rPr>
          <w:rFonts w:ascii="Arial" w:hAnsi="Arial" w:cs="Arial"/>
          <w:color w:val="4F81BD" w:themeColor="accent1"/>
          <w:szCs w:val="26"/>
        </w:rPr>
        <w:t xml:space="preserve"> </w:t>
      </w:r>
      <w:r w:rsidR="00101229" w:rsidRPr="00760A2A">
        <w:rPr>
          <w:rFonts w:ascii="Arial" w:hAnsi="Arial" w:cs="Arial"/>
          <w:color w:val="4F81BD" w:themeColor="accent1"/>
          <w:szCs w:val="26"/>
        </w:rPr>
        <w:t xml:space="preserve">De ser el caso, indique a la solicitante, el costo que implica la reproducción de la información requerida, </w:t>
      </w:r>
      <w:r w:rsidR="00101229" w:rsidRPr="00760A2A">
        <w:rPr>
          <w:rFonts w:ascii="Arial" w:hAnsi="Arial" w:cs="Arial"/>
          <w:b/>
          <w:color w:val="4F81BD" w:themeColor="accent1"/>
          <w:szCs w:val="26"/>
        </w:rPr>
        <w:t>misma que habrá de cubrirse de manera previa a la entrega.</w:t>
      </w:r>
    </w:p>
    <w:p w:rsidR="00101229" w:rsidRPr="00760A2A" w:rsidRDefault="0014725B" w:rsidP="0014725B">
      <w:pPr>
        <w:rPr>
          <w:rFonts w:ascii="Arial" w:hAnsi="Arial" w:cs="Arial"/>
          <w:color w:val="4F81BD" w:themeColor="accent1"/>
          <w:szCs w:val="26"/>
        </w:rPr>
      </w:pPr>
      <w:r w:rsidRPr="00760A2A">
        <w:rPr>
          <w:rFonts w:ascii="Arial" w:hAnsi="Arial" w:cs="Arial"/>
          <w:color w:val="4F81BD" w:themeColor="accent1"/>
          <w:szCs w:val="26"/>
        </w:rPr>
        <w:tab/>
      </w:r>
    </w:p>
    <w:p w:rsidR="0014725B" w:rsidRPr="00760A2A" w:rsidRDefault="0014725B" w:rsidP="00101229">
      <w:pPr>
        <w:ind w:firstLine="705"/>
        <w:rPr>
          <w:rFonts w:ascii="Arial" w:hAnsi="Arial" w:cs="Arial"/>
          <w:color w:val="4F81BD" w:themeColor="accent1"/>
          <w:szCs w:val="26"/>
          <w:lang w:eastAsia="es-MX"/>
        </w:rPr>
      </w:pPr>
      <w:r w:rsidRPr="00760A2A">
        <w:rPr>
          <w:rFonts w:ascii="Arial" w:eastAsia="Arial Unicode MS" w:hAnsi="Arial" w:cs="Arial"/>
          <w:color w:val="4F81BD" w:themeColor="accent1"/>
          <w:szCs w:val="26"/>
        </w:rPr>
        <w:t>Para efectos del cumplimiento de la presente resolución resulta pertinente tomar en cuenta las siguientes precisiones:</w:t>
      </w:r>
      <w:r w:rsidRPr="00760A2A">
        <w:rPr>
          <w:rFonts w:ascii="Arial" w:hAnsi="Arial" w:cs="Arial"/>
          <w:color w:val="4F81BD" w:themeColor="accent1"/>
          <w:szCs w:val="26"/>
          <w:lang w:eastAsia="es-MX"/>
        </w:rPr>
        <w:t> </w:t>
      </w:r>
    </w:p>
    <w:p w:rsidR="0014725B" w:rsidRPr="00760A2A" w:rsidRDefault="0014725B" w:rsidP="0014725B">
      <w:pPr>
        <w:spacing w:before="240"/>
        <w:rPr>
          <w:rFonts w:ascii="Arial" w:hAnsi="Arial" w:cs="Arial"/>
          <w:b/>
          <w:color w:val="4F81BD" w:themeColor="accent1"/>
          <w:szCs w:val="26"/>
        </w:rPr>
      </w:pPr>
      <w:r w:rsidRPr="00760A2A">
        <w:rPr>
          <w:rFonts w:ascii="Arial" w:hAnsi="Arial" w:cs="Arial"/>
          <w:color w:val="4F81BD" w:themeColor="accent1"/>
          <w:szCs w:val="26"/>
        </w:rPr>
        <w:tab/>
        <w:t xml:space="preserve">Con fundamento en los artículos 175, último párrafo y 183 de la Ley de Transparencia y Acceso a la Información Pública del Estado, se le concede al ente obligado el término de </w:t>
      </w:r>
      <w:r w:rsidRPr="00760A2A">
        <w:rPr>
          <w:rFonts w:ascii="Arial" w:hAnsi="Arial" w:cs="Arial"/>
          <w:b/>
          <w:color w:val="4F81BD" w:themeColor="accent1"/>
          <w:szCs w:val="26"/>
        </w:rPr>
        <w:t xml:space="preserve">10 diez días, </w:t>
      </w:r>
      <w:r w:rsidRPr="00760A2A">
        <w:rPr>
          <w:rFonts w:ascii="Arial" w:hAnsi="Arial" w:cs="Arial"/>
          <w:b/>
          <w:bCs/>
          <w:color w:val="4F81BD" w:themeColor="accent1"/>
          <w:szCs w:val="26"/>
          <w:lang w:val="es-MX" w:eastAsia="es-MX"/>
        </w:rPr>
        <w:t>contados a partir del día siguiente de su notificación,</w:t>
      </w:r>
      <w:r w:rsidRPr="00760A2A">
        <w:rPr>
          <w:rFonts w:ascii="Arial" w:hAnsi="Arial" w:cs="Arial"/>
          <w:b/>
          <w:color w:val="4F81BD" w:themeColor="accent1"/>
          <w:szCs w:val="26"/>
        </w:rPr>
        <w:t xml:space="preserve"> para que de cumplimiento a lo ordenado en la presente resolución, el cual podrá ser extendido si </w:t>
      </w:r>
      <w:r w:rsidRPr="00760A2A">
        <w:rPr>
          <w:rFonts w:ascii="Arial" w:hAnsi="Arial" w:cs="Arial"/>
          <w:b/>
          <w:color w:val="4F81BD" w:themeColor="accent1"/>
          <w:szCs w:val="26"/>
        </w:rPr>
        <w:lastRenderedPageBreak/>
        <w:t>así lo requiere el ente obligado, previa fundamentación y motivación que justifique la ampliación del plazo.</w:t>
      </w:r>
    </w:p>
    <w:p w:rsidR="0014725B" w:rsidRPr="00760A2A" w:rsidRDefault="0014725B" w:rsidP="0014725B">
      <w:pPr>
        <w:spacing w:before="240"/>
        <w:rPr>
          <w:rFonts w:ascii="Arial" w:hAnsi="Arial" w:cs="Arial"/>
          <w:color w:val="4F81BD" w:themeColor="accent1"/>
          <w:szCs w:val="26"/>
        </w:rPr>
      </w:pPr>
      <w:r w:rsidRPr="00760A2A">
        <w:rPr>
          <w:rFonts w:ascii="Arial" w:hAnsi="Arial" w:cs="Arial"/>
          <w:color w:val="4F81BD" w:themeColor="accent1"/>
          <w:szCs w:val="26"/>
        </w:rPr>
        <w:tab/>
        <w:t>Se estima el plazo de diez días, puesto que el ente obligado debe realizar los trámites internos necesarios para proporcionar la información que en este fallo se ordeno entregar, además deberá realizar la clasificación de la información conforme a derecho.</w:t>
      </w:r>
    </w:p>
    <w:p w:rsidR="0014725B" w:rsidRPr="00760A2A" w:rsidRDefault="0014725B" w:rsidP="0014725B">
      <w:pPr>
        <w:shd w:val="clear" w:color="auto" w:fill="FFFFFF"/>
        <w:spacing w:before="240"/>
        <w:ind w:firstLine="708"/>
        <w:rPr>
          <w:rFonts w:ascii="Arial" w:hAnsi="Arial" w:cs="Arial"/>
          <w:b/>
          <w:bCs/>
          <w:color w:val="4F81BD" w:themeColor="accent1"/>
          <w:szCs w:val="26"/>
          <w:lang w:val="es-MX" w:eastAsia="es-MX"/>
        </w:rPr>
      </w:pPr>
      <w:r w:rsidRPr="00760A2A">
        <w:rPr>
          <w:rFonts w:ascii="Arial" w:hAnsi="Arial" w:cs="Arial"/>
          <w:color w:val="4F81BD" w:themeColor="accent1"/>
          <w:szCs w:val="26"/>
          <w:lang w:val="es-MX" w:eastAsia="es-MX"/>
        </w:rPr>
        <w:t>Ahora bien, el ente obligado deberá en un plazo que no podrá exceder de 03 tres días hábiles, contados a partir de la notificación del auto que declaré ejecutoriada la presente resolución, informar el cumplimiento al presente fallo con los documentos fehacientes </w:t>
      </w:r>
      <w:r w:rsidRPr="00760A2A">
        <w:rPr>
          <w:rFonts w:ascii="Arial" w:hAnsi="Arial" w:cs="Arial"/>
          <w:b/>
          <w:bCs/>
          <w:color w:val="4F81BD" w:themeColor="accent1"/>
          <w:szCs w:val="26"/>
          <w:lang w:val="es-MX" w:eastAsia="es-MX"/>
        </w:rPr>
        <w:t>(originales o copia certificada de documentos y bandeja de salida del correo electrónico),</w:t>
      </w:r>
      <w:r w:rsidRPr="00760A2A">
        <w:rPr>
          <w:rFonts w:ascii="Arial" w:hAnsi="Arial" w:cs="Arial"/>
          <w:color w:val="4F81BD" w:themeColor="accent1"/>
          <w:szCs w:val="26"/>
          <w:lang w:val="es-MX" w:eastAsia="es-MX"/>
        </w:rPr>
        <w:t> con fundamento en los artículos 177 184 de la Ley de Transparencia y Acceso a la Información Pública </w:t>
      </w:r>
      <w:r w:rsidRPr="00760A2A">
        <w:rPr>
          <w:rFonts w:ascii="Arial" w:hAnsi="Arial" w:cs="Arial"/>
          <w:b/>
          <w:bCs/>
          <w:color w:val="4F81BD" w:themeColor="accent1"/>
          <w:szCs w:val="26"/>
          <w:lang w:val="es-MX" w:eastAsia="es-MX"/>
        </w:rPr>
        <w:t>y en caso de no cumplir con esta resolución se dará vista con la denuncia correspondiente al Órgano de Control Interno de la dependencia o a quien resulte competente para integrar y sustanciar el procedimiento sancionatorio por incurrir en posibles actos que actualicen la hipótesis contenida en el artículo 197, fracción XV de la Ley de Transparencia y Acceso a la información Pública del Estado. Lo anterior, sin perjuicio de que esta Comisión realicé lo necesario para que se dé el debido cumplimiento a la presente resolución.</w:t>
      </w:r>
    </w:p>
    <w:p w:rsidR="0014725B" w:rsidRPr="00760A2A" w:rsidRDefault="0014725B" w:rsidP="0014725B">
      <w:pPr>
        <w:shd w:val="clear" w:color="auto" w:fill="FFFFFF"/>
        <w:spacing w:before="240"/>
        <w:ind w:firstLine="708"/>
        <w:rPr>
          <w:rFonts w:ascii="Arial" w:hAnsi="Arial" w:cs="Arial"/>
          <w:color w:val="4F81BD" w:themeColor="accent1"/>
          <w:szCs w:val="26"/>
          <w:u w:val="single"/>
          <w:lang w:val="es-MX" w:eastAsia="es-MX"/>
        </w:rPr>
      </w:pPr>
      <w:r w:rsidRPr="00760A2A">
        <w:rPr>
          <w:rFonts w:ascii="Arial" w:hAnsi="Arial" w:cs="Arial"/>
          <w:bCs/>
          <w:color w:val="4F81BD" w:themeColor="accent1"/>
          <w:szCs w:val="26"/>
          <w:u w:val="single"/>
          <w:lang w:val="es-MX" w:eastAsia="es-MX"/>
        </w:rPr>
        <w:t xml:space="preserve">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de que el incumplimiento se origine con motivo de las deficiencias en que incurra </w:t>
      </w:r>
      <w:proofErr w:type="gramStart"/>
      <w:r w:rsidRPr="00760A2A">
        <w:rPr>
          <w:rFonts w:ascii="Arial" w:hAnsi="Arial" w:cs="Arial"/>
          <w:bCs/>
          <w:color w:val="4F81BD" w:themeColor="accent1"/>
          <w:szCs w:val="26"/>
          <w:u w:val="single"/>
          <w:lang w:val="es-MX" w:eastAsia="es-MX"/>
        </w:rPr>
        <w:t>una</w:t>
      </w:r>
      <w:proofErr w:type="gramEnd"/>
      <w:r w:rsidRPr="00760A2A">
        <w:rPr>
          <w:rFonts w:ascii="Arial" w:hAnsi="Arial" w:cs="Arial"/>
          <w:bCs/>
          <w:color w:val="4F81BD" w:themeColor="accent1"/>
          <w:szCs w:val="26"/>
          <w:u w:val="single"/>
          <w:lang w:val="es-MX" w:eastAsia="es-MX"/>
        </w:rPr>
        <w:t xml:space="preserve"> área administrativa ante la cual gestione, deberá informarlo a esta Comisión y a su superior jerárquico para que se tomen las medidas necesarias para asegurar el respeto a la presente determinación.</w:t>
      </w:r>
    </w:p>
    <w:p w:rsidR="0014725B" w:rsidRPr="00760A2A" w:rsidRDefault="0014725B" w:rsidP="0014725B">
      <w:pPr>
        <w:shd w:val="clear" w:color="auto" w:fill="FFFFFF"/>
        <w:spacing w:before="100" w:beforeAutospacing="1" w:after="100" w:afterAutospacing="1" w:line="288" w:lineRule="atLeast"/>
        <w:ind w:firstLine="708"/>
        <w:rPr>
          <w:rFonts w:ascii="Arial" w:hAnsi="Arial" w:cs="Arial"/>
          <w:color w:val="4F81BD" w:themeColor="accent1"/>
          <w:szCs w:val="26"/>
          <w:lang w:val="es-MX" w:eastAsia="es-MX"/>
        </w:rPr>
      </w:pPr>
      <w:r w:rsidRPr="00760A2A">
        <w:rPr>
          <w:rFonts w:ascii="Arial" w:hAnsi="Arial" w:cs="Arial"/>
          <w:color w:val="4F81BD" w:themeColor="accent1"/>
          <w:szCs w:val="26"/>
          <w:lang w:val="es-MX" w:eastAsia="es-MX"/>
        </w:rPr>
        <w:lastRenderedPageBreak/>
        <w:t>Por lo anteriormente expuesto y fundado se:</w:t>
      </w:r>
    </w:p>
    <w:p w:rsidR="0014725B" w:rsidRPr="00760A2A" w:rsidRDefault="0014725B" w:rsidP="0014725B">
      <w:pPr>
        <w:shd w:val="clear" w:color="auto" w:fill="FFFFFF"/>
        <w:spacing w:line="288" w:lineRule="atLeast"/>
        <w:jc w:val="center"/>
        <w:outlineLvl w:val="0"/>
        <w:rPr>
          <w:rFonts w:ascii="Arial" w:hAnsi="Arial" w:cs="Arial"/>
          <w:b/>
          <w:bCs/>
          <w:color w:val="4F81BD" w:themeColor="accent1"/>
          <w:szCs w:val="26"/>
          <w:lang w:val="es-MX" w:eastAsia="es-MX"/>
        </w:rPr>
      </w:pPr>
      <w:r w:rsidRPr="00760A2A">
        <w:rPr>
          <w:rFonts w:ascii="Arial" w:hAnsi="Arial" w:cs="Arial"/>
          <w:b/>
          <w:bCs/>
          <w:color w:val="4F81BD" w:themeColor="accent1"/>
          <w:szCs w:val="26"/>
          <w:lang w:val="es-MX" w:eastAsia="es-MX"/>
        </w:rPr>
        <w:t>R E S U E L V E:</w:t>
      </w:r>
    </w:p>
    <w:p w:rsidR="0014725B" w:rsidRPr="00760A2A" w:rsidRDefault="0014725B" w:rsidP="0014725B">
      <w:pPr>
        <w:shd w:val="clear" w:color="auto" w:fill="FFFFFF"/>
        <w:spacing w:line="288" w:lineRule="atLeast"/>
        <w:jc w:val="center"/>
        <w:outlineLvl w:val="0"/>
        <w:rPr>
          <w:rFonts w:ascii="Arial" w:hAnsi="Arial" w:cs="Arial"/>
          <w:b/>
          <w:bCs/>
          <w:color w:val="4F81BD" w:themeColor="accent1"/>
          <w:szCs w:val="26"/>
          <w:lang w:val="es-MX" w:eastAsia="es-MX"/>
        </w:rPr>
      </w:pPr>
    </w:p>
    <w:p w:rsidR="0014725B" w:rsidRPr="00760A2A" w:rsidRDefault="0014725B" w:rsidP="0014725B">
      <w:pPr>
        <w:spacing w:before="240" w:after="240"/>
        <w:rPr>
          <w:rFonts w:ascii="Arial" w:hAnsi="Arial" w:cs="Arial"/>
          <w:color w:val="4F81BD" w:themeColor="accent1"/>
          <w:szCs w:val="26"/>
        </w:rPr>
      </w:pPr>
      <w:r w:rsidRPr="00760A2A">
        <w:rPr>
          <w:rFonts w:ascii="Arial" w:hAnsi="Arial" w:cs="Arial"/>
          <w:b/>
          <w:color w:val="4F81BD" w:themeColor="accent1"/>
          <w:szCs w:val="26"/>
        </w:rPr>
        <w:tab/>
        <w:t xml:space="preserve">ÚNICO. </w:t>
      </w:r>
      <w:r w:rsidRPr="00760A2A">
        <w:rPr>
          <w:rFonts w:ascii="Arial" w:hAnsi="Arial" w:cs="Arial"/>
          <w:color w:val="4F81BD" w:themeColor="accent1"/>
          <w:szCs w:val="26"/>
        </w:rPr>
        <w:t xml:space="preserve">Por los razonamientos expuestos en el considerando tercero de la presente resolución, esta Comisión </w:t>
      </w:r>
      <w:r w:rsidR="00101229" w:rsidRPr="00760A2A">
        <w:rPr>
          <w:rFonts w:ascii="Arial" w:hAnsi="Arial" w:cs="Arial"/>
          <w:b/>
          <w:color w:val="4F81BD" w:themeColor="accent1"/>
          <w:szCs w:val="26"/>
        </w:rPr>
        <w:t xml:space="preserve">revoca </w:t>
      </w:r>
      <w:r w:rsidRPr="00760A2A">
        <w:rPr>
          <w:rFonts w:ascii="Arial" w:hAnsi="Arial" w:cs="Arial"/>
          <w:color w:val="4F81BD" w:themeColor="accent1"/>
          <w:szCs w:val="26"/>
        </w:rPr>
        <w:t>la respuesta dada por el sujeto obligado.</w:t>
      </w:r>
    </w:p>
    <w:p w:rsidR="0014725B" w:rsidRPr="00760A2A" w:rsidRDefault="0014725B" w:rsidP="0014725B">
      <w:pPr>
        <w:spacing w:before="240" w:after="240"/>
        <w:rPr>
          <w:rFonts w:ascii="Arial" w:hAnsi="Arial" w:cs="Arial"/>
          <w:color w:val="4F81BD" w:themeColor="accent1"/>
          <w:szCs w:val="26"/>
        </w:rPr>
      </w:pPr>
      <w:r w:rsidRPr="00760A2A">
        <w:rPr>
          <w:rFonts w:ascii="Arial" w:hAnsi="Arial" w:cs="Arial"/>
          <w:color w:val="4F81BD" w:themeColor="accent1"/>
          <w:szCs w:val="26"/>
        </w:rPr>
        <w:tab/>
        <w:t>Notifíquese personalmente a las partes el contenido de la presente resolución, de conformidad con el artículo 177 de la Ley de Transparencia y Acceso a la Información Pública del Estado.</w:t>
      </w:r>
    </w:p>
    <w:p w:rsidR="0014725B" w:rsidRPr="00760A2A" w:rsidRDefault="0014725B" w:rsidP="0014725B">
      <w:pPr>
        <w:spacing w:before="240" w:after="240"/>
        <w:rPr>
          <w:rFonts w:ascii="Arial" w:hAnsi="Arial" w:cs="Arial"/>
          <w:color w:val="4F81BD" w:themeColor="accent1"/>
          <w:szCs w:val="26"/>
        </w:rPr>
      </w:pPr>
      <w:r w:rsidRPr="00760A2A">
        <w:rPr>
          <w:rFonts w:ascii="Arial" w:hAnsi="Arial" w:cs="Arial"/>
          <w:color w:val="4F81BD" w:themeColor="accent1"/>
          <w:szCs w:val="26"/>
        </w:rPr>
        <w:tab/>
        <w:t>La notificación que se realice al sujeto obligado será, con fundamento en los artículos 58 y 183 de la Ley de Transparencia y Acceso a la Información Pública del Estado, a través de la Unidad de Transparencia.</w:t>
      </w:r>
    </w:p>
    <w:p w:rsidR="0014725B" w:rsidRPr="00760A2A" w:rsidRDefault="0014725B" w:rsidP="0014725B">
      <w:pPr>
        <w:spacing w:before="240" w:after="240"/>
        <w:rPr>
          <w:rFonts w:ascii="Arial" w:hAnsi="Arial" w:cs="Arial"/>
          <w:color w:val="4F81BD" w:themeColor="accent1"/>
          <w:szCs w:val="26"/>
        </w:rPr>
      </w:pPr>
      <w:r w:rsidRPr="00760A2A">
        <w:rPr>
          <w:rFonts w:ascii="Arial" w:hAnsi="Arial" w:cs="Arial"/>
          <w:color w:val="4F81BD" w:themeColor="accent1"/>
          <w:szCs w:val="26"/>
        </w:rPr>
        <w:tab/>
        <w:t xml:space="preserve">Se hace de conocimiento del recurrente que, en caso de no estar de acuerdo con los términos de la presente resolución, podrá impugnar, de manera optativa, la presente resolución a través del </w:t>
      </w:r>
      <w:r w:rsidRPr="00760A2A">
        <w:rPr>
          <w:rFonts w:ascii="Arial" w:hAnsi="Arial" w:cs="Arial"/>
          <w:b/>
          <w:color w:val="4F81BD" w:themeColor="accent1"/>
          <w:szCs w:val="26"/>
        </w:rPr>
        <w:t>Recurso de Inconformidad</w:t>
      </w:r>
      <w:r w:rsidRPr="00760A2A">
        <w:rPr>
          <w:rFonts w:ascii="Arial" w:hAnsi="Arial" w:cs="Arial"/>
          <w:color w:val="4F81BD" w:themeColor="accent1"/>
          <w:szCs w:val="26"/>
        </w:rPr>
        <w:t xml:space="preserve">, mismo que podrá presentar ante el Instituto Nacional de Transparencia, Acceso a la Información y Protección de Datos Personales (INAI), o a través del </w:t>
      </w:r>
      <w:r w:rsidRPr="00760A2A">
        <w:rPr>
          <w:rFonts w:ascii="Arial" w:hAnsi="Arial" w:cs="Arial"/>
          <w:b/>
          <w:color w:val="4F81BD" w:themeColor="accent1"/>
          <w:szCs w:val="26"/>
        </w:rPr>
        <w:t>Juicio de Amparo indirecto</w:t>
      </w:r>
      <w:r w:rsidRPr="00760A2A">
        <w:rPr>
          <w:rFonts w:ascii="Arial" w:hAnsi="Arial" w:cs="Arial"/>
          <w:color w:val="4F81BD" w:themeColor="accent1"/>
          <w:szCs w:val="26"/>
        </w:rPr>
        <w:t xml:space="preserve"> que promueva ante el Poder Judicial de la Federación. Lo anterior con fundamento en el artículo 159 de la Ley General de Transparencia y Acceso a la Información Pública.</w:t>
      </w:r>
    </w:p>
    <w:p w:rsidR="0014725B" w:rsidRPr="00760A2A" w:rsidRDefault="0014725B" w:rsidP="0014725B">
      <w:pPr>
        <w:spacing w:before="240" w:after="240"/>
        <w:rPr>
          <w:rFonts w:ascii="Arial" w:hAnsi="Arial" w:cs="Arial"/>
          <w:color w:val="4F81BD" w:themeColor="accent1"/>
          <w:szCs w:val="26"/>
        </w:rPr>
      </w:pPr>
      <w:r w:rsidRPr="00760A2A">
        <w:rPr>
          <w:rFonts w:ascii="Arial" w:hAnsi="Arial" w:cs="Arial"/>
          <w:color w:val="4F81BD" w:themeColor="accent1"/>
          <w:szCs w:val="26"/>
        </w:rPr>
        <w:tab/>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extraordinaria celebrada el </w:t>
      </w:r>
      <w:r w:rsidR="00101229" w:rsidRPr="00760A2A">
        <w:rPr>
          <w:rFonts w:ascii="Arial" w:hAnsi="Arial" w:cs="Arial"/>
          <w:color w:val="4F81BD" w:themeColor="accent1"/>
          <w:szCs w:val="26"/>
        </w:rPr>
        <w:t xml:space="preserve">veintiuno de noviembre de </w:t>
      </w:r>
      <w:r w:rsidRPr="00760A2A">
        <w:rPr>
          <w:rFonts w:ascii="Arial" w:hAnsi="Arial" w:cs="Arial"/>
          <w:color w:val="4F81BD" w:themeColor="accent1"/>
          <w:szCs w:val="26"/>
        </w:rPr>
        <w:t>dos mil diecisiete, ante la Secretaria de Pleno Rosa María Motilla García.</w:t>
      </w:r>
    </w:p>
    <w:p w:rsidR="0014725B" w:rsidRPr="00760A2A" w:rsidRDefault="0014725B" w:rsidP="0014725B">
      <w:pPr>
        <w:spacing w:before="240" w:after="240"/>
        <w:rPr>
          <w:rFonts w:ascii="Arial" w:hAnsi="Arial" w:cs="Arial"/>
          <w:color w:val="4F81BD" w:themeColor="accent1"/>
          <w:sz w:val="24"/>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3"/>
        <w:gridCol w:w="4394"/>
      </w:tblGrid>
      <w:tr w:rsidR="0014725B" w:rsidRPr="00760A2A" w:rsidTr="004A3676">
        <w:tc>
          <w:tcPr>
            <w:tcW w:w="4503" w:type="dxa"/>
          </w:tcPr>
          <w:p w:rsidR="0014725B" w:rsidRPr="00760A2A" w:rsidRDefault="0014725B" w:rsidP="004A3676">
            <w:pPr>
              <w:spacing w:after="240"/>
              <w:jc w:val="center"/>
              <w:rPr>
                <w:rFonts w:ascii="Arial" w:hAnsi="Arial" w:cs="Arial"/>
                <w:b/>
                <w:color w:val="4F81BD" w:themeColor="accent1"/>
                <w:sz w:val="24"/>
                <w:szCs w:val="24"/>
              </w:rPr>
            </w:pPr>
            <w:r w:rsidRPr="00760A2A">
              <w:rPr>
                <w:rFonts w:ascii="Arial" w:hAnsi="Arial" w:cs="Arial"/>
                <w:b/>
                <w:color w:val="4F81BD" w:themeColor="accent1"/>
                <w:sz w:val="24"/>
                <w:szCs w:val="24"/>
              </w:rPr>
              <w:lastRenderedPageBreak/>
              <w:t>COMISIONADO PRESIDENTE</w:t>
            </w:r>
          </w:p>
          <w:p w:rsidR="0014725B" w:rsidRPr="00760A2A" w:rsidRDefault="0014725B" w:rsidP="004A3676">
            <w:pPr>
              <w:spacing w:before="240" w:after="240"/>
              <w:jc w:val="center"/>
              <w:rPr>
                <w:rFonts w:ascii="Arial" w:hAnsi="Arial" w:cs="Arial"/>
                <w:b/>
                <w:color w:val="4F81BD" w:themeColor="accent1"/>
                <w:sz w:val="24"/>
                <w:szCs w:val="24"/>
              </w:rPr>
            </w:pPr>
          </w:p>
          <w:p w:rsidR="0014725B" w:rsidRPr="00760A2A" w:rsidRDefault="0014725B" w:rsidP="004A3676">
            <w:pPr>
              <w:spacing w:before="240" w:after="240"/>
              <w:jc w:val="center"/>
              <w:rPr>
                <w:rFonts w:ascii="Arial" w:hAnsi="Arial" w:cs="Arial"/>
                <w:color w:val="4F81BD" w:themeColor="accent1"/>
                <w:sz w:val="24"/>
                <w:szCs w:val="24"/>
              </w:rPr>
            </w:pPr>
            <w:r w:rsidRPr="00760A2A">
              <w:rPr>
                <w:rFonts w:ascii="Arial" w:hAnsi="Arial" w:cs="Arial"/>
                <w:b/>
                <w:color w:val="4F81BD" w:themeColor="accent1"/>
                <w:sz w:val="24"/>
                <w:szCs w:val="24"/>
              </w:rPr>
              <w:t>ALEJANDRO LAFUENTE TORRES</w:t>
            </w:r>
          </w:p>
        </w:tc>
        <w:tc>
          <w:tcPr>
            <w:tcW w:w="4394" w:type="dxa"/>
          </w:tcPr>
          <w:p w:rsidR="0014725B" w:rsidRPr="00760A2A" w:rsidRDefault="0014725B" w:rsidP="004A3676">
            <w:pPr>
              <w:spacing w:after="240"/>
              <w:ind w:left="48"/>
              <w:jc w:val="center"/>
              <w:rPr>
                <w:rFonts w:ascii="Arial" w:hAnsi="Arial" w:cs="Arial"/>
                <w:b/>
                <w:color w:val="4F81BD" w:themeColor="accent1"/>
                <w:sz w:val="24"/>
                <w:szCs w:val="24"/>
              </w:rPr>
            </w:pPr>
            <w:r w:rsidRPr="00760A2A">
              <w:rPr>
                <w:rFonts w:ascii="Arial" w:hAnsi="Arial" w:cs="Arial"/>
                <w:b/>
                <w:color w:val="4F81BD" w:themeColor="accent1"/>
                <w:sz w:val="24"/>
                <w:szCs w:val="24"/>
              </w:rPr>
              <w:t>COMISIONADA</w:t>
            </w:r>
          </w:p>
          <w:p w:rsidR="0014725B" w:rsidRPr="00760A2A" w:rsidRDefault="0014725B" w:rsidP="004A3676">
            <w:pPr>
              <w:spacing w:before="240" w:after="240"/>
              <w:jc w:val="center"/>
              <w:rPr>
                <w:rFonts w:ascii="Arial" w:hAnsi="Arial" w:cs="Arial"/>
                <w:b/>
                <w:color w:val="4F81BD" w:themeColor="accent1"/>
                <w:sz w:val="24"/>
                <w:szCs w:val="24"/>
              </w:rPr>
            </w:pPr>
          </w:p>
          <w:p w:rsidR="0014725B" w:rsidRPr="00760A2A" w:rsidRDefault="0014725B" w:rsidP="004A3676">
            <w:pPr>
              <w:spacing w:before="240" w:after="240"/>
              <w:jc w:val="center"/>
              <w:rPr>
                <w:rFonts w:ascii="Arial" w:hAnsi="Arial" w:cs="Arial"/>
                <w:b/>
                <w:color w:val="4F81BD" w:themeColor="accent1"/>
                <w:sz w:val="24"/>
                <w:szCs w:val="24"/>
              </w:rPr>
            </w:pPr>
            <w:r w:rsidRPr="00760A2A">
              <w:rPr>
                <w:rFonts w:ascii="Arial" w:hAnsi="Arial" w:cs="Arial"/>
                <w:b/>
                <w:color w:val="4F81BD" w:themeColor="accent1"/>
                <w:sz w:val="24"/>
                <w:szCs w:val="24"/>
              </w:rPr>
              <w:t>PAULINA SÁNCHEZ PÉREZ DEL POZO</w:t>
            </w:r>
          </w:p>
          <w:p w:rsidR="0014725B" w:rsidRPr="00760A2A" w:rsidRDefault="0014725B" w:rsidP="004A3676">
            <w:pPr>
              <w:spacing w:before="240" w:after="240"/>
              <w:jc w:val="center"/>
              <w:rPr>
                <w:rFonts w:ascii="Arial" w:hAnsi="Arial" w:cs="Arial"/>
                <w:color w:val="4F81BD" w:themeColor="accent1"/>
                <w:sz w:val="24"/>
                <w:szCs w:val="24"/>
              </w:rPr>
            </w:pPr>
          </w:p>
        </w:tc>
      </w:tr>
      <w:tr w:rsidR="0014725B" w:rsidRPr="00760A2A" w:rsidTr="004A3676">
        <w:trPr>
          <w:trHeight w:val="2075"/>
        </w:trPr>
        <w:tc>
          <w:tcPr>
            <w:tcW w:w="4503" w:type="dxa"/>
          </w:tcPr>
          <w:p w:rsidR="0014725B" w:rsidRPr="00760A2A" w:rsidRDefault="0014725B" w:rsidP="004A3676">
            <w:pPr>
              <w:spacing w:after="240" w:line="276" w:lineRule="auto"/>
              <w:jc w:val="center"/>
              <w:rPr>
                <w:rFonts w:ascii="Arial" w:hAnsi="Arial" w:cs="Arial"/>
                <w:b/>
                <w:color w:val="4F81BD" w:themeColor="accent1"/>
                <w:sz w:val="24"/>
                <w:szCs w:val="24"/>
              </w:rPr>
            </w:pPr>
            <w:r w:rsidRPr="00760A2A">
              <w:rPr>
                <w:rFonts w:ascii="Arial" w:hAnsi="Arial" w:cs="Arial"/>
                <w:b/>
                <w:color w:val="4F81BD" w:themeColor="accent1"/>
                <w:sz w:val="24"/>
                <w:szCs w:val="24"/>
              </w:rPr>
              <w:t>COMISIONADA</w:t>
            </w:r>
          </w:p>
          <w:p w:rsidR="0014725B" w:rsidRPr="00760A2A" w:rsidRDefault="0014725B" w:rsidP="004A3676">
            <w:pPr>
              <w:spacing w:line="276" w:lineRule="auto"/>
              <w:rPr>
                <w:rFonts w:ascii="Arial" w:hAnsi="Arial" w:cs="Arial"/>
                <w:b/>
                <w:color w:val="4F81BD" w:themeColor="accent1"/>
                <w:sz w:val="24"/>
                <w:szCs w:val="24"/>
              </w:rPr>
            </w:pPr>
          </w:p>
          <w:p w:rsidR="0014725B" w:rsidRPr="00760A2A" w:rsidRDefault="0014725B" w:rsidP="004A3676">
            <w:pPr>
              <w:rPr>
                <w:rFonts w:ascii="Arial" w:hAnsi="Arial" w:cs="Arial"/>
                <w:b/>
                <w:color w:val="4F81BD" w:themeColor="accent1"/>
                <w:sz w:val="24"/>
                <w:szCs w:val="24"/>
              </w:rPr>
            </w:pPr>
          </w:p>
          <w:p w:rsidR="0014725B" w:rsidRPr="00760A2A" w:rsidRDefault="0014725B" w:rsidP="004A3676">
            <w:pPr>
              <w:spacing w:before="240" w:after="240" w:line="276" w:lineRule="auto"/>
              <w:jc w:val="center"/>
              <w:rPr>
                <w:rFonts w:ascii="Arial" w:hAnsi="Arial" w:cs="Arial"/>
                <w:color w:val="4F81BD" w:themeColor="accent1"/>
                <w:sz w:val="24"/>
                <w:szCs w:val="24"/>
              </w:rPr>
            </w:pPr>
            <w:r w:rsidRPr="00760A2A">
              <w:rPr>
                <w:rFonts w:ascii="Arial" w:hAnsi="Arial" w:cs="Arial"/>
                <w:b/>
                <w:color w:val="4F81BD" w:themeColor="accent1"/>
                <w:sz w:val="24"/>
                <w:szCs w:val="24"/>
              </w:rPr>
              <w:t>CLAUDIA ELIZABETH ÁVALOS CEDILLO</w:t>
            </w:r>
          </w:p>
        </w:tc>
        <w:tc>
          <w:tcPr>
            <w:tcW w:w="4394" w:type="dxa"/>
          </w:tcPr>
          <w:p w:rsidR="0014725B" w:rsidRPr="00760A2A" w:rsidRDefault="0014725B" w:rsidP="004A3676">
            <w:pPr>
              <w:ind w:left="48" w:firstLine="2"/>
              <w:jc w:val="center"/>
              <w:rPr>
                <w:rFonts w:ascii="Arial" w:hAnsi="Arial" w:cs="Arial"/>
                <w:b/>
                <w:color w:val="4F81BD" w:themeColor="accent1"/>
                <w:sz w:val="24"/>
                <w:szCs w:val="24"/>
              </w:rPr>
            </w:pPr>
            <w:r w:rsidRPr="00760A2A">
              <w:rPr>
                <w:rFonts w:ascii="Arial" w:hAnsi="Arial" w:cs="Arial"/>
                <w:b/>
                <w:color w:val="4F81BD" w:themeColor="accent1"/>
                <w:sz w:val="24"/>
                <w:szCs w:val="24"/>
              </w:rPr>
              <w:t>SECRETARIA DE PLENO</w:t>
            </w:r>
          </w:p>
          <w:p w:rsidR="0014725B" w:rsidRPr="00760A2A" w:rsidRDefault="0014725B" w:rsidP="004A3676">
            <w:pPr>
              <w:ind w:left="48"/>
              <w:jc w:val="center"/>
              <w:rPr>
                <w:rFonts w:ascii="Arial" w:hAnsi="Arial" w:cs="Arial"/>
                <w:b/>
                <w:color w:val="4F81BD" w:themeColor="accent1"/>
                <w:sz w:val="24"/>
                <w:szCs w:val="24"/>
              </w:rPr>
            </w:pPr>
          </w:p>
          <w:p w:rsidR="0014725B" w:rsidRPr="00760A2A" w:rsidRDefault="0014725B" w:rsidP="004A3676">
            <w:pPr>
              <w:spacing w:before="240"/>
              <w:rPr>
                <w:rFonts w:ascii="Arial" w:hAnsi="Arial" w:cs="Arial"/>
                <w:b/>
                <w:color w:val="4F81BD" w:themeColor="accent1"/>
                <w:sz w:val="24"/>
                <w:szCs w:val="24"/>
              </w:rPr>
            </w:pPr>
          </w:p>
          <w:p w:rsidR="0014725B" w:rsidRPr="00760A2A" w:rsidRDefault="0014725B" w:rsidP="004A3676">
            <w:pPr>
              <w:ind w:left="48"/>
              <w:jc w:val="center"/>
              <w:rPr>
                <w:rFonts w:ascii="Arial" w:hAnsi="Arial" w:cs="Arial"/>
                <w:b/>
                <w:color w:val="4F81BD" w:themeColor="accent1"/>
                <w:sz w:val="24"/>
                <w:szCs w:val="24"/>
              </w:rPr>
            </w:pPr>
            <w:r w:rsidRPr="00760A2A">
              <w:rPr>
                <w:rFonts w:ascii="Arial" w:hAnsi="Arial" w:cs="Arial"/>
                <w:b/>
                <w:color w:val="4F81BD" w:themeColor="accent1"/>
                <w:sz w:val="24"/>
                <w:szCs w:val="24"/>
              </w:rPr>
              <w:t>ROSA MARÍA MOTILLA GARCÍA</w:t>
            </w:r>
          </w:p>
        </w:tc>
      </w:tr>
    </w:tbl>
    <w:tbl>
      <w:tblPr>
        <w:tblW w:w="10613" w:type="dxa"/>
        <w:jc w:val="center"/>
        <w:tblLook w:val="01E0"/>
      </w:tblPr>
      <w:tblGrid>
        <w:gridCol w:w="4880"/>
        <w:gridCol w:w="358"/>
        <w:gridCol w:w="5375"/>
      </w:tblGrid>
      <w:tr w:rsidR="0014725B" w:rsidRPr="00760A2A" w:rsidTr="004A3676">
        <w:trPr>
          <w:trHeight w:val="244"/>
          <w:jc w:val="center"/>
        </w:trPr>
        <w:tc>
          <w:tcPr>
            <w:tcW w:w="4880" w:type="dxa"/>
          </w:tcPr>
          <w:p w:rsidR="0014725B" w:rsidRPr="00760A2A" w:rsidRDefault="0014725B" w:rsidP="004A3676">
            <w:pPr>
              <w:ind w:left="97"/>
              <w:jc w:val="center"/>
              <w:rPr>
                <w:rFonts w:ascii="Arial" w:hAnsi="Arial" w:cs="Arial"/>
                <w:b/>
                <w:color w:val="4F81BD" w:themeColor="accent1"/>
                <w:sz w:val="24"/>
              </w:rPr>
            </w:pPr>
          </w:p>
        </w:tc>
        <w:tc>
          <w:tcPr>
            <w:tcW w:w="358" w:type="dxa"/>
          </w:tcPr>
          <w:p w:rsidR="0014725B" w:rsidRPr="00760A2A" w:rsidRDefault="0014725B" w:rsidP="004A3676">
            <w:pPr>
              <w:ind w:left="360" w:firstLine="708"/>
              <w:jc w:val="center"/>
              <w:rPr>
                <w:rFonts w:ascii="Arial" w:hAnsi="Arial" w:cs="Arial"/>
                <w:b/>
                <w:color w:val="4F81BD" w:themeColor="accent1"/>
                <w:sz w:val="24"/>
              </w:rPr>
            </w:pPr>
          </w:p>
        </w:tc>
        <w:tc>
          <w:tcPr>
            <w:tcW w:w="5375" w:type="dxa"/>
          </w:tcPr>
          <w:p w:rsidR="0014725B" w:rsidRPr="00760A2A" w:rsidRDefault="0014725B" w:rsidP="004A3676">
            <w:pPr>
              <w:jc w:val="center"/>
              <w:rPr>
                <w:rFonts w:ascii="Arial" w:hAnsi="Arial" w:cs="Arial"/>
                <w:b/>
                <w:color w:val="4F81BD" w:themeColor="accent1"/>
                <w:sz w:val="24"/>
              </w:rPr>
            </w:pPr>
          </w:p>
        </w:tc>
      </w:tr>
    </w:tbl>
    <w:p w:rsidR="0014725B" w:rsidRPr="00760A2A" w:rsidRDefault="0014725B" w:rsidP="0014725B">
      <w:pPr>
        <w:pStyle w:val="Textoindependienteprimerasangra"/>
        <w:spacing w:after="0" w:line="276" w:lineRule="auto"/>
        <w:ind w:firstLine="0"/>
        <w:rPr>
          <w:rFonts w:ascii="Arial" w:eastAsia="Arial Unicode MS" w:hAnsi="Arial" w:cs="Arial"/>
          <w:i/>
          <w:color w:val="4F81BD" w:themeColor="accent1"/>
          <w:sz w:val="16"/>
          <w:szCs w:val="16"/>
          <w:lang w:val="es-MX"/>
        </w:rPr>
      </w:pPr>
      <w:r w:rsidRPr="00760A2A">
        <w:rPr>
          <w:rFonts w:ascii="Arial" w:hAnsi="Arial" w:cs="Arial"/>
          <w:color w:val="4F81BD" w:themeColor="accent1"/>
          <w:sz w:val="16"/>
          <w:szCs w:val="16"/>
        </w:rPr>
        <w:tab/>
      </w:r>
      <w:r w:rsidRPr="00760A2A">
        <w:rPr>
          <w:rFonts w:ascii="Arial" w:hAnsi="Arial" w:cs="Arial"/>
          <w:i/>
          <w:color w:val="4F81BD" w:themeColor="accent1"/>
          <w:sz w:val="16"/>
          <w:szCs w:val="16"/>
        </w:rPr>
        <w:t>Estas firmas pertenecen a la última foja de la resolución pronunciada en el re</w:t>
      </w:r>
      <w:r w:rsidR="00101229" w:rsidRPr="00760A2A">
        <w:rPr>
          <w:rFonts w:ascii="Arial" w:hAnsi="Arial" w:cs="Arial"/>
          <w:i/>
          <w:color w:val="4F81BD" w:themeColor="accent1"/>
          <w:sz w:val="16"/>
          <w:szCs w:val="16"/>
        </w:rPr>
        <w:t>curso de revisión 570</w:t>
      </w:r>
      <w:r w:rsidRPr="00760A2A">
        <w:rPr>
          <w:rFonts w:ascii="Arial" w:hAnsi="Arial" w:cs="Arial"/>
          <w:i/>
          <w:color w:val="4F81BD" w:themeColor="accent1"/>
          <w:sz w:val="16"/>
          <w:szCs w:val="16"/>
        </w:rPr>
        <w:t xml:space="preserve">/2017-3 aprobada en sesión extraordinaria del </w:t>
      </w:r>
      <w:r w:rsidR="00101229" w:rsidRPr="00760A2A">
        <w:rPr>
          <w:rFonts w:ascii="Arial" w:hAnsi="Arial" w:cs="Arial"/>
          <w:i/>
          <w:color w:val="4F81BD" w:themeColor="accent1"/>
          <w:sz w:val="16"/>
          <w:szCs w:val="16"/>
        </w:rPr>
        <w:t>veintiuno de noviembre</w:t>
      </w:r>
      <w:r w:rsidRPr="00760A2A">
        <w:rPr>
          <w:rFonts w:ascii="Arial" w:eastAsia="Arial Unicode MS" w:hAnsi="Arial" w:cs="Arial"/>
          <w:i/>
          <w:color w:val="4F81BD" w:themeColor="accent1"/>
          <w:sz w:val="16"/>
          <w:szCs w:val="16"/>
          <w:lang w:val="es-MX"/>
        </w:rPr>
        <w:t xml:space="preserve"> de  dos mil diecisiete.</w:t>
      </w:r>
    </w:p>
    <w:p w:rsidR="0014725B" w:rsidRPr="00760A2A" w:rsidRDefault="0014725B" w:rsidP="0014725B">
      <w:pPr>
        <w:pStyle w:val="Textoindependienteprimerasangra"/>
        <w:spacing w:after="0" w:line="276" w:lineRule="auto"/>
        <w:ind w:firstLine="0"/>
        <w:rPr>
          <w:rFonts w:ascii="Arial" w:hAnsi="Arial" w:cs="Arial"/>
          <w:i/>
          <w:color w:val="4F81BD" w:themeColor="accent1"/>
          <w:sz w:val="16"/>
          <w:szCs w:val="16"/>
        </w:rPr>
      </w:pPr>
      <w:r w:rsidRPr="00760A2A">
        <w:rPr>
          <w:rFonts w:ascii="Arial" w:hAnsi="Arial" w:cs="Arial"/>
          <w:i/>
          <w:color w:val="4F81BD" w:themeColor="accent1"/>
          <w:sz w:val="16"/>
          <w:szCs w:val="16"/>
        </w:rPr>
        <w:t>Elaboró y cotejó:</w:t>
      </w:r>
    </w:p>
    <w:p w:rsidR="0014725B" w:rsidRPr="00760A2A" w:rsidRDefault="00101229" w:rsidP="0014725B">
      <w:pPr>
        <w:spacing w:before="240" w:line="276" w:lineRule="auto"/>
        <w:rPr>
          <w:rFonts w:ascii="Arial" w:hAnsi="Arial" w:cs="Arial"/>
          <w:b/>
          <w:color w:val="4F81BD" w:themeColor="accent1"/>
          <w:sz w:val="24"/>
        </w:rPr>
      </w:pPr>
      <w:r w:rsidRPr="00760A2A">
        <w:rPr>
          <w:rFonts w:ascii="Arial" w:hAnsi="Arial" w:cs="Arial"/>
          <w:i/>
          <w:color w:val="4F81BD" w:themeColor="accent1"/>
          <w:sz w:val="16"/>
          <w:szCs w:val="16"/>
        </w:rPr>
        <w:t>ABCR</w:t>
      </w:r>
    </w:p>
    <w:p w:rsidR="00D80EDF" w:rsidRPr="00760A2A" w:rsidRDefault="00D80EDF" w:rsidP="0014725B">
      <w:pPr>
        <w:ind w:firstLine="708"/>
        <w:rPr>
          <w:rFonts w:ascii="Arial" w:eastAsia="Arial Unicode MS" w:hAnsi="Arial" w:cs="Arial"/>
          <w:color w:val="4F81BD" w:themeColor="accent1"/>
          <w:szCs w:val="26"/>
        </w:rPr>
      </w:pPr>
    </w:p>
    <w:sectPr w:rsidR="00D80EDF" w:rsidRPr="00760A2A" w:rsidSect="00EE69A4">
      <w:headerReference w:type="even" r:id="rId12"/>
      <w:headerReference w:type="default" r:id="rId13"/>
      <w:headerReference w:type="first" r:id="rId14"/>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48B1" w:rsidRDefault="004948B1" w:rsidP="00EE69A4">
      <w:pPr>
        <w:spacing w:line="240" w:lineRule="auto"/>
      </w:pPr>
      <w:r>
        <w:separator/>
      </w:r>
    </w:p>
  </w:endnote>
  <w:endnote w:type="continuationSeparator" w:id="0">
    <w:p w:rsidR="004948B1" w:rsidRDefault="004948B1"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48B1" w:rsidRDefault="004948B1" w:rsidP="00EE69A4">
      <w:pPr>
        <w:spacing w:line="240" w:lineRule="auto"/>
      </w:pPr>
      <w:r>
        <w:separator/>
      </w:r>
    </w:p>
  </w:footnote>
  <w:footnote w:type="continuationSeparator" w:id="0">
    <w:p w:rsidR="004948B1" w:rsidRDefault="004948B1" w:rsidP="00EE69A4">
      <w:pPr>
        <w:spacing w:line="240" w:lineRule="auto"/>
      </w:pPr>
      <w:r>
        <w:continuationSeparator/>
      </w:r>
    </w:p>
  </w:footnote>
  <w:footnote w:id="1">
    <w:p w:rsidR="00BA1DB1" w:rsidRPr="00FB1E6A" w:rsidRDefault="00BA1DB1" w:rsidP="00FB1E6A">
      <w:pPr>
        <w:pStyle w:val="Textoindependienteprimerasangra"/>
        <w:spacing w:after="0" w:line="240" w:lineRule="auto"/>
        <w:ind w:left="567" w:firstLine="0"/>
        <w:rPr>
          <w:rFonts w:ascii="Arial" w:eastAsia="Arial Unicode MS" w:hAnsi="Arial" w:cs="Arial"/>
          <w:i/>
          <w:color w:val="4F81BD" w:themeColor="accent1"/>
          <w:sz w:val="16"/>
          <w:szCs w:val="16"/>
          <w:lang w:val="es-MX"/>
        </w:rPr>
      </w:pPr>
      <w:r w:rsidRPr="00FB1E6A">
        <w:rPr>
          <w:rStyle w:val="Refdenotaalpie"/>
          <w:rFonts w:ascii="Arial" w:hAnsi="Arial" w:cs="Arial"/>
          <w:sz w:val="16"/>
          <w:szCs w:val="16"/>
        </w:rPr>
        <w:footnoteRef/>
      </w:r>
      <w:r w:rsidRPr="00FB1E6A">
        <w:rPr>
          <w:rFonts w:ascii="Arial" w:hAnsi="Arial" w:cs="Arial"/>
          <w:sz w:val="16"/>
          <w:szCs w:val="16"/>
        </w:rPr>
        <w:t xml:space="preserve"> </w:t>
      </w:r>
      <w:r w:rsidRPr="00FB1E6A">
        <w:rPr>
          <w:rFonts w:ascii="Arial" w:eastAsia="Arial Unicode MS" w:hAnsi="Arial" w:cs="Arial"/>
          <w:i/>
          <w:color w:val="4F81BD" w:themeColor="accent1"/>
          <w:sz w:val="16"/>
          <w:szCs w:val="16"/>
          <w:lang w:val="es-MX"/>
        </w:rPr>
        <w:t>Solicito copia de los nombramientos de la Comisión Dictaminadora, del Instituto a su cargo.</w:t>
      </w:r>
    </w:p>
    <w:p w:rsidR="00BA1DB1" w:rsidRPr="00FB1E6A" w:rsidRDefault="00BA1DB1" w:rsidP="00FB1E6A">
      <w:pPr>
        <w:pStyle w:val="Textoindependienteprimerasangra"/>
        <w:spacing w:after="0" w:line="240" w:lineRule="auto"/>
        <w:ind w:left="567" w:firstLine="0"/>
        <w:rPr>
          <w:rFonts w:ascii="Arial" w:eastAsia="Arial Unicode MS" w:hAnsi="Arial" w:cs="Arial"/>
          <w:i/>
          <w:color w:val="4F81BD" w:themeColor="accent1"/>
          <w:sz w:val="16"/>
          <w:szCs w:val="16"/>
          <w:lang w:val="es-MX"/>
        </w:rPr>
      </w:pPr>
      <w:r w:rsidRPr="00FB1E6A">
        <w:rPr>
          <w:rFonts w:ascii="Arial" w:eastAsia="Arial Unicode MS" w:hAnsi="Arial" w:cs="Arial"/>
          <w:i/>
          <w:color w:val="4F81BD" w:themeColor="accent1"/>
          <w:sz w:val="16"/>
          <w:szCs w:val="16"/>
          <w:lang w:val="es-MX"/>
        </w:rPr>
        <w:t xml:space="preserve">Solicito una relación del Personal Docente que participó en </w:t>
      </w:r>
      <w:proofErr w:type="spellStart"/>
      <w:r w:rsidRPr="00FB1E6A">
        <w:rPr>
          <w:rFonts w:ascii="Arial" w:eastAsia="Arial Unicode MS" w:hAnsi="Arial" w:cs="Arial"/>
          <w:i/>
          <w:color w:val="4F81BD" w:themeColor="accent1"/>
          <w:sz w:val="16"/>
          <w:szCs w:val="16"/>
          <w:lang w:val="es-MX"/>
        </w:rPr>
        <w:t>en</w:t>
      </w:r>
      <w:proofErr w:type="spellEnd"/>
      <w:r w:rsidRPr="00FB1E6A">
        <w:rPr>
          <w:rFonts w:ascii="Arial" w:eastAsia="Arial Unicode MS" w:hAnsi="Arial" w:cs="Arial"/>
          <w:i/>
          <w:color w:val="4F81BD" w:themeColor="accent1"/>
          <w:sz w:val="16"/>
          <w:szCs w:val="16"/>
          <w:lang w:val="es-MX"/>
        </w:rPr>
        <w:t xml:space="preserve"> las Convocatoria de Concurso cerrado convocado por usted.</w:t>
      </w:r>
    </w:p>
    <w:p w:rsidR="00BA1DB1" w:rsidRPr="00FB1E6A" w:rsidRDefault="00BA1DB1" w:rsidP="00FB1E6A">
      <w:pPr>
        <w:pStyle w:val="Textoindependienteprimerasangra"/>
        <w:spacing w:after="0" w:line="240" w:lineRule="auto"/>
        <w:ind w:left="567" w:firstLine="0"/>
        <w:rPr>
          <w:rFonts w:ascii="Arial" w:eastAsia="Arial Unicode MS" w:hAnsi="Arial" w:cs="Arial"/>
          <w:i/>
          <w:color w:val="4F81BD" w:themeColor="accent1"/>
          <w:sz w:val="16"/>
          <w:szCs w:val="16"/>
          <w:lang w:val="es-MX"/>
        </w:rPr>
      </w:pPr>
      <w:r w:rsidRPr="00FB1E6A">
        <w:rPr>
          <w:rFonts w:ascii="Arial" w:eastAsia="Arial Unicode MS" w:hAnsi="Arial" w:cs="Arial"/>
          <w:i/>
          <w:color w:val="4F81BD" w:themeColor="accent1"/>
          <w:sz w:val="16"/>
          <w:szCs w:val="16"/>
          <w:lang w:val="es-MX"/>
        </w:rPr>
        <w:t>Solicito un informe del personal docente de esta Institución a su cargo donde refleje la siguiente información:</w:t>
      </w:r>
    </w:p>
    <w:p w:rsidR="00BA1DB1" w:rsidRPr="00FB1E6A" w:rsidRDefault="00BA1DB1" w:rsidP="00FB1E6A">
      <w:pPr>
        <w:pStyle w:val="Textoindependienteprimerasangra"/>
        <w:spacing w:after="0" w:line="240" w:lineRule="auto"/>
        <w:ind w:left="567" w:firstLine="0"/>
        <w:rPr>
          <w:rFonts w:ascii="Arial" w:eastAsia="Arial Unicode MS" w:hAnsi="Arial" w:cs="Arial"/>
          <w:i/>
          <w:color w:val="4F81BD" w:themeColor="accent1"/>
          <w:sz w:val="16"/>
          <w:szCs w:val="16"/>
          <w:lang w:val="es-MX"/>
        </w:rPr>
      </w:pPr>
      <w:r w:rsidRPr="00FB1E6A">
        <w:rPr>
          <w:rFonts w:ascii="Arial" w:eastAsia="Arial Unicode MS" w:hAnsi="Arial" w:cs="Arial"/>
          <w:i/>
          <w:color w:val="4F81BD" w:themeColor="accent1"/>
          <w:sz w:val="16"/>
          <w:szCs w:val="16"/>
          <w:lang w:val="es-MX"/>
        </w:rPr>
        <w:t>Nombre; fecha de ingreso, y la plaza de ingreso y la fecha de los efectos presupuestales, así como las que han ascendido durante los años de antigüedad que tiene en la Institución hasta su última asignada con sus respectivas fechas de efectos presupuestales; es decir desde cuando inicio y cuando termino.</w:t>
      </w:r>
    </w:p>
    <w:p w:rsidR="00BA1DB1" w:rsidRPr="00FB1E6A" w:rsidRDefault="00BA1DB1" w:rsidP="00FB1E6A">
      <w:pPr>
        <w:pStyle w:val="Textoindependienteprimerasangra"/>
        <w:spacing w:after="0" w:line="240" w:lineRule="auto"/>
        <w:ind w:left="567" w:firstLine="0"/>
        <w:rPr>
          <w:rFonts w:ascii="Arial" w:eastAsia="Arial Unicode MS" w:hAnsi="Arial" w:cs="Arial"/>
          <w:i/>
          <w:color w:val="4F81BD" w:themeColor="accent1"/>
          <w:sz w:val="16"/>
          <w:szCs w:val="16"/>
          <w:lang w:val="es-MX"/>
        </w:rPr>
      </w:pPr>
      <w:r w:rsidRPr="00FB1E6A">
        <w:rPr>
          <w:rFonts w:ascii="Arial" w:eastAsia="Arial Unicode MS" w:hAnsi="Arial" w:cs="Arial"/>
          <w:i/>
          <w:color w:val="4F81BD" w:themeColor="accent1"/>
          <w:sz w:val="16"/>
          <w:szCs w:val="16"/>
          <w:lang w:val="es-MX"/>
        </w:rPr>
        <w:t>Solicito copia de la Estructura Educativa DPPI de Enero a Junio de 2012 a 2017.</w:t>
      </w:r>
    </w:p>
    <w:p w:rsidR="00BA1DB1" w:rsidRPr="00FB1E6A" w:rsidRDefault="00BA1DB1" w:rsidP="00FB1E6A">
      <w:pPr>
        <w:pStyle w:val="Textoindependienteprimerasangra"/>
        <w:spacing w:after="0" w:line="240" w:lineRule="auto"/>
        <w:ind w:left="567" w:firstLine="0"/>
        <w:rPr>
          <w:rFonts w:ascii="Arial" w:eastAsia="Arial Unicode MS" w:hAnsi="Arial" w:cs="Arial"/>
          <w:i/>
          <w:color w:val="4F81BD" w:themeColor="accent1"/>
          <w:sz w:val="16"/>
          <w:szCs w:val="16"/>
          <w:lang w:val="es-MX"/>
        </w:rPr>
      </w:pPr>
      <w:r w:rsidRPr="00FB1E6A">
        <w:rPr>
          <w:rFonts w:ascii="Arial" w:eastAsia="Arial Unicode MS" w:hAnsi="Arial" w:cs="Arial"/>
          <w:i/>
          <w:color w:val="4F81BD" w:themeColor="accent1"/>
          <w:sz w:val="16"/>
          <w:szCs w:val="16"/>
          <w:lang w:val="es-MX"/>
        </w:rPr>
        <w:t>Solicito copia de la Estructura Educativa DPPI de Agosto a Diciembre de 2012 a 2016.</w:t>
      </w:r>
    </w:p>
    <w:p w:rsidR="00BA1DB1" w:rsidRDefault="00BA1DB1">
      <w:pPr>
        <w:pStyle w:val="Textonotapi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BA1DB1" w:rsidRDefault="005F3BDC">
        <w:pPr>
          <w:pStyle w:val="Encabezado"/>
          <w:jc w:val="center"/>
        </w:pPr>
        <w:fldSimple w:instr=" PAGE   \* MERGEFORMAT ">
          <w:r w:rsidR="00BA1DB1">
            <w:rPr>
              <w:noProof/>
            </w:rPr>
            <w:t>2</w:t>
          </w:r>
        </w:fldSimple>
      </w:p>
    </w:sdtContent>
  </w:sdt>
  <w:p w:rsidR="00BA1DB1" w:rsidRDefault="00BA1DB1">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BA1DB1" w:rsidRDefault="005F3BDC">
        <w:pPr>
          <w:pStyle w:val="Encabezado"/>
          <w:jc w:val="center"/>
        </w:pPr>
        <w:fldSimple w:instr=" PAGE   \* MERGEFORMAT ">
          <w:r w:rsidR="00B704C3">
            <w:rPr>
              <w:noProof/>
            </w:rPr>
            <w:t>3</w:t>
          </w:r>
        </w:fldSimple>
      </w:p>
    </w:sdtContent>
  </w:sdt>
  <w:p w:rsidR="00BA1DB1" w:rsidRPr="00B704C3" w:rsidRDefault="00BA1DB1">
    <w:pPr>
      <w:pStyle w:val="Encabezado"/>
      <w:rPr>
        <w:color w:val="4F81BD" w:themeColor="accent1"/>
        <w:lang w:val="es-MX"/>
      </w:rPr>
    </w:pPr>
    <w:r w:rsidRPr="00B704C3">
      <w:rPr>
        <w:color w:val="4F81BD" w:themeColor="accent1"/>
        <w:lang w:val="es-MX"/>
      </w:rPr>
      <w:t>CEGAIP-RR-570/2017-3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BA1DB1" w:rsidRDefault="005F3BDC">
        <w:pPr>
          <w:pStyle w:val="Encabezado"/>
          <w:jc w:val="center"/>
        </w:pPr>
        <w:fldSimple w:instr=" PAGE   \* MERGEFORMAT ">
          <w:r w:rsidR="00B704C3">
            <w:rPr>
              <w:noProof/>
            </w:rPr>
            <w:t>1</w:t>
          </w:r>
        </w:fldSimple>
      </w:p>
    </w:sdtContent>
  </w:sdt>
  <w:p w:rsidR="00BA1DB1" w:rsidRDefault="00BA1DB1">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33754"/>
    <w:multiLevelType w:val="hybridMultilevel"/>
    <w:tmpl w:val="4DD682B6"/>
    <w:lvl w:ilvl="0" w:tplc="080A000F">
      <w:start w:val="1"/>
      <w:numFmt w:val="decimal"/>
      <w:lvlText w:val="%1."/>
      <w:lvlJc w:val="left"/>
      <w:pPr>
        <w:ind w:left="1428" w:hanging="360"/>
      </w:pPr>
      <w:rPr>
        <w:rFont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0385EDC"/>
    <w:multiLevelType w:val="hybridMultilevel"/>
    <w:tmpl w:val="FDE040CA"/>
    <w:lvl w:ilvl="0" w:tplc="CC94D9CC">
      <w:start w:val="1"/>
      <w:numFmt w:val="decimal"/>
      <w:lvlText w:val="%1."/>
      <w:lvlJc w:val="left"/>
      <w:pPr>
        <w:ind w:left="2111" w:hanging="360"/>
      </w:pPr>
      <w:rPr>
        <w:rFonts w:hint="default"/>
      </w:rPr>
    </w:lvl>
    <w:lvl w:ilvl="1" w:tplc="080A0019" w:tentative="1">
      <w:start w:val="1"/>
      <w:numFmt w:val="lowerLetter"/>
      <w:lvlText w:val="%2."/>
      <w:lvlJc w:val="left"/>
      <w:pPr>
        <w:ind w:left="2831" w:hanging="360"/>
      </w:pPr>
    </w:lvl>
    <w:lvl w:ilvl="2" w:tplc="080A001B" w:tentative="1">
      <w:start w:val="1"/>
      <w:numFmt w:val="lowerRoman"/>
      <w:lvlText w:val="%3."/>
      <w:lvlJc w:val="right"/>
      <w:pPr>
        <w:ind w:left="3551" w:hanging="180"/>
      </w:pPr>
    </w:lvl>
    <w:lvl w:ilvl="3" w:tplc="080A000F" w:tentative="1">
      <w:start w:val="1"/>
      <w:numFmt w:val="decimal"/>
      <w:lvlText w:val="%4."/>
      <w:lvlJc w:val="left"/>
      <w:pPr>
        <w:ind w:left="4271" w:hanging="360"/>
      </w:pPr>
    </w:lvl>
    <w:lvl w:ilvl="4" w:tplc="080A0019" w:tentative="1">
      <w:start w:val="1"/>
      <w:numFmt w:val="lowerLetter"/>
      <w:lvlText w:val="%5."/>
      <w:lvlJc w:val="left"/>
      <w:pPr>
        <w:ind w:left="4991" w:hanging="360"/>
      </w:pPr>
    </w:lvl>
    <w:lvl w:ilvl="5" w:tplc="080A001B" w:tentative="1">
      <w:start w:val="1"/>
      <w:numFmt w:val="lowerRoman"/>
      <w:lvlText w:val="%6."/>
      <w:lvlJc w:val="right"/>
      <w:pPr>
        <w:ind w:left="5711" w:hanging="180"/>
      </w:pPr>
    </w:lvl>
    <w:lvl w:ilvl="6" w:tplc="080A000F" w:tentative="1">
      <w:start w:val="1"/>
      <w:numFmt w:val="decimal"/>
      <w:lvlText w:val="%7."/>
      <w:lvlJc w:val="left"/>
      <w:pPr>
        <w:ind w:left="6431" w:hanging="360"/>
      </w:pPr>
    </w:lvl>
    <w:lvl w:ilvl="7" w:tplc="080A0019" w:tentative="1">
      <w:start w:val="1"/>
      <w:numFmt w:val="lowerLetter"/>
      <w:lvlText w:val="%8."/>
      <w:lvlJc w:val="left"/>
      <w:pPr>
        <w:ind w:left="7151" w:hanging="360"/>
      </w:pPr>
    </w:lvl>
    <w:lvl w:ilvl="8" w:tplc="080A001B" w:tentative="1">
      <w:start w:val="1"/>
      <w:numFmt w:val="lowerRoman"/>
      <w:lvlText w:val="%9."/>
      <w:lvlJc w:val="right"/>
      <w:pPr>
        <w:ind w:left="7871" w:hanging="180"/>
      </w:pPr>
    </w:lvl>
  </w:abstractNum>
  <w:abstractNum w:abstractNumId="4">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5">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6">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7">
    <w:nsid w:val="28C95EE4"/>
    <w:multiLevelType w:val="hybridMultilevel"/>
    <w:tmpl w:val="B6CEA96C"/>
    <w:lvl w:ilvl="0" w:tplc="C832D478">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39523C01"/>
    <w:multiLevelType w:val="hybridMultilevel"/>
    <w:tmpl w:val="63228CE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698B3D66"/>
    <w:multiLevelType w:val="hybridMultilevel"/>
    <w:tmpl w:val="85D83A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6A4F26BA"/>
    <w:multiLevelType w:val="hybridMultilevel"/>
    <w:tmpl w:val="BE7C42C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6AB15B16"/>
    <w:multiLevelType w:val="hybridMultilevel"/>
    <w:tmpl w:val="F6A26BC8"/>
    <w:lvl w:ilvl="0" w:tplc="4E96572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788565F2"/>
    <w:multiLevelType w:val="hybridMultilevel"/>
    <w:tmpl w:val="FDE040CA"/>
    <w:lvl w:ilvl="0" w:tplc="CC94D9CC">
      <w:start w:val="1"/>
      <w:numFmt w:val="decimal"/>
      <w:lvlText w:val="%1."/>
      <w:lvlJc w:val="left"/>
      <w:pPr>
        <w:ind w:left="2111" w:hanging="360"/>
      </w:pPr>
      <w:rPr>
        <w:rFonts w:hint="default"/>
      </w:rPr>
    </w:lvl>
    <w:lvl w:ilvl="1" w:tplc="080A0019" w:tentative="1">
      <w:start w:val="1"/>
      <w:numFmt w:val="lowerLetter"/>
      <w:lvlText w:val="%2."/>
      <w:lvlJc w:val="left"/>
      <w:pPr>
        <w:ind w:left="2831" w:hanging="360"/>
      </w:pPr>
    </w:lvl>
    <w:lvl w:ilvl="2" w:tplc="080A001B" w:tentative="1">
      <w:start w:val="1"/>
      <w:numFmt w:val="lowerRoman"/>
      <w:lvlText w:val="%3."/>
      <w:lvlJc w:val="right"/>
      <w:pPr>
        <w:ind w:left="3551" w:hanging="180"/>
      </w:pPr>
    </w:lvl>
    <w:lvl w:ilvl="3" w:tplc="080A000F" w:tentative="1">
      <w:start w:val="1"/>
      <w:numFmt w:val="decimal"/>
      <w:lvlText w:val="%4."/>
      <w:lvlJc w:val="left"/>
      <w:pPr>
        <w:ind w:left="4271" w:hanging="360"/>
      </w:pPr>
    </w:lvl>
    <w:lvl w:ilvl="4" w:tplc="080A0019" w:tentative="1">
      <w:start w:val="1"/>
      <w:numFmt w:val="lowerLetter"/>
      <w:lvlText w:val="%5."/>
      <w:lvlJc w:val="left"/>
      <w:pPr>
        <w:ind w:left="4991" w:hanging="360"/>
      </w:pPr>
    </w:lvl>
    <w:lvl w:ilvl="5" w:tplc="080A001B" w:tentative="1">
      <w:start w:val="1"/>
      <w:numFmt w:val="lowerRoman"/>
      <w:lvlText w:val="%6."/>
      <w:lvlJc w:val="right"/>
      <w:pPr>
        <w:ind w:left="5711" w:hanging="180"/>
      </w:pPr>
    </w:lvl>
    <w:lvl w:ilvl="6" w:tplc="080A000F" w:tentative="1">
      <w:start w:val="1"/>
      <w:numFmt w:val="decimal"/>
      <w:lvlText w:val="%7."/>
      <w:lvlJc w:val="left"/>
      <w:pPr>
        <w:ind w:left="6431" w:hanging="360"/>
      </w:pPr>
    </w:lvl>
    <w:lvl w:ilvl="7" w:tplc="080A0019" w:tentative="1">
      <w:start w:val="1"/>
      <w:numFmt w:val="lowerLetter"/>
      <w:lvlText w:val="%8."/>
      <w:lvlJc w:val="left"/>
      <w:pPr>
        <w:ind w:left="7151" w:hanging="360"/>
      </w:pPr>
    </w:lvl>
    <w:lvl w:ilvl="8" w:tplc="080A001B" w:tentative="1">
      <w:start w:val="1"/>
      <w:numFmt w:val="lowerRoman"/>
      <w:lvlText w:val="%9."/>
      <w:lvlJc w:val="right"/>
      <w:pPr>
        <w:ind w:left="7871" w:hanging="180"/>
      </w:pPr>
    </w:lvl>
  </w:abstractNum>
  <w:abstractNum w:abstractNumId="16">
    <w:nsid w:val="7F2F7036"/>
    <w:multiLevelType w:val="hybridMultilevel"/>
    <w:tmpl w:val="4DD682B6"/>
    <w:lvl w:ilvl="0" w:tplc="080A000F">
      <w:start w:val="1"/>
      <w:numFmt w:val="decimal"/>
      <w:lvlText w:val="%1."/>
      <w:lvlJc w:val="left"/>
      <w:pPr>
        <w:ind w:left="1428" w:hanging="360"/>
      </w:pPr>
      <w:rPr>
        <w:rFont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2"/>
  </w:num>
  <w:num w:numId="2">
    <w:abstractNumId w:val="14"/>
  </w:num>
  <w:num w:numId="3">
    <w:abstractNumId w:val="10"/>
  </w:num>
  <w:num w:numId="4">
    <w:abstractNumId w:val="4"/>
  </w:num>
  <w:num w:numId="5">
    <w:abstractNumId w:val="5"/>
  </w:num>
  <w:num w:numId="6">
    <w:abstractNumId w:val="9"/>
  </w:num>
  <w:num w:numId="7">
    <w:abstractNumId w:val="1"/>
  </w:num>
  <w:num w:numId="8">
    <w:abstractNumId w:val="6"/>
  </w:num>
  <w:num w:numId="9">
    <w:abstractNumId w:val="11"/>
  </w:num>
  <w:num w:numId="10">
    <w:abstractNumId w:val="12"/>
  </w:num>
  <w:num w:numId="11">
    <w:abstractNumId w:val="8"/>
  </w:num>
  <w:num w:numId="12">
    <w:abstractNumId w:val="16"/>
  </w:num>
  <w:num w:numId="13">
    <w:abstractNumId w:val="0"/>
  </w:num>
  <w:num w:numId="14">
    <w:abstractNumId w:val="15"/>
  </w:num>
  <w:num w:numId="15">
    <w:abstractNumId w:val="13"/>
  </w:num>
  <w:num w:numId="16">
    <w:abstractNumId w:val="7"/>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125954">
      <o:colormenu v:ext="edit" fillcolor="none" strokecolor="none"/>
    </o:shapedefaults>
  </w:hdrShapeDefaults>
  <w:footnotePr>
    <w:footnote w:id="-1"/>
    <w:footnote w:id="0"/>
  </w:footnotePr>
  <w:endnotePr>
    <w:endnote w:id="-1"/>
    <w:endnote w:id="0"/>
  </w:endnotePr>
  <w:compat/>
  <w:rsids>
    <w:rsidRoot w:val="00547C44"/>
    <w:rsid w:val="0000036C"/>
    <w:rsid w:val="00000970"/>
    <w:rsid w:val="0001055D"/>
    <w:rsid w:val="00011F94"/>
    <w:rsid w:val="00013C06"/>
    <w:rsid w:val="000177DD"/>
    <w:rsid w:val="00017ECB"/>
    <w:rsid w:val="00025BF5"/>
    <w:rsid w:val="00033326"/>
    <w:rsid w:val="000425FE"/>
    <w:rsid w:val="0004354C"/>
    <w:rsid w:val="000451BF"/>
    <w:rsid w:val="00061128"/>
    <w:rsid w:val="00062D73"/>
    <w:rsid w:val="00077879"/>
    <w:rsid w:val="00077E33"/>
    <w:rsid w:val="00096C1B"/>
    <w:rsid w:val="000A1D16"/>
    <w:rsid w:val="000B38D3"/>
    <w:rsid w:val="000B4951"/>
    <w:rsid w:val="000C6173"/>
    <w:rsid w:val="000C6676"/>
    <w:rsid w:val="000D17CE"/>
    <w:rsid w:val="000D5428"/>
    <w:rsid w:val="000D7425"/>
    <w:rsid w:val="000E16E9"/>
    <w:rsid w:val="000E7BEA"/>
    <w:rsid w:val="00101229"/>
    <w:rsid w:val="0011496B"/>
    <w:rsid w:val="001205B0"/>
    <w:rsid w:val="001271CF"/>
    <w:rsid w:val="0014725B"/>
    <w:rsid w:val="00160177"/>
    <w:rsid w:val="00163D61"/>
    <w:rsid w:val="00164962"/>
    <w:rsid w:val="00177EEC"/>
    <w:rsid w:val="00190533"/>
    <w:rsid w:val="001A0323"/>
    <w:rsid w:val="001A3F9B"/>
    <w:rsid w:val="001A4183"/>
    <w:rsid w:val="001A7205"/>
    <w:rsid w:val="001A7253"/>
    <w:rsid w:val="001B3E73"/>
    <w:rsid w:val="001B7F3F"/>
    <w:rsid w:val="001D3660"/>
    <w:rsid w:val="00202A8C"/>
    <w:rsid w:val="002041D3"/>
    <w:rsid w:val="00204AB1"/>
    <w:rsid w:val="00220BFA"/>
    <w:rsid w:val="00222699"/>
    <w:rsid w:val="00244E9C"/>
    <w:rsid w:val="00247933"/>
    <w:rsid w:val="00256CA2"/>
    <w:rsid w:val="00261BC8"/>
    <w:rsid w:val="002670F1"/>
    <w:rsid w:val="00273CD8"/>
    <w:rsid w:val="00284664"/>
    <w:rsid w:val="00285304"/>
    <w:rsid w:val="0029291C"/>
    <w:rsid w:val="0029435C"/>
    <w:rsid w:val="00297F19"/>
    <w:rsid w:val="002A0FC4"/>
    <w:rsid w:val="002A17D6"/>
    <w:rsid w:val="002B0933"/>
    <w:rsid w:val="002B722D"/>
    <w:rsid w:val="002B740A"/>
    <w:rsid w:val="002B7451"/>
    <w:rsid w:val="002C20C3"/>
    <w:rsid w:val="002C476E"/>
    <w:rsid w:val="002E615D"/>
    <w:rsid w:val="002F0DF8"/>
    <w:rsid w:val="002F279B"/>
    <w:rsid w:val="00300904"/>
    <w:rsid w:val="00336FD2"/>
    <w:rsid w:val="00345ACF"/>
    <w:rsid w:val="00346A88"/>
    <w:rsid w:val="00351465"/>
    <w:rsid w:val="0036724E"/>
    <w:rsid w:val="003705C1"/>
    <w:rsid w:val="003709F8"/>
    <w:rsid w:val="00376496"/>
    <w:rsid w:val="003779B1"/>
    <w:rsid w:val="00380455"/>
    <w:rsid w:val="0038595C"/>
    <w:rsid w:val="00387DB5"/>
    <w:rsid w:val="00394AAA"/>
    <w:rsid w:val="003B7E57"/>
    <w:rsid w:val="003C2E2E"/>
    <w:rsid w:val="003D0737"/>
    <w:rsid w:val="003D19A4"/>
    <w:rsid w:val="004026B8"/>
    <w:rsid w:val="004101E6"/>
    <w:rsid w:val="004131C4"/>
    <w:rsid w:val="00414FBC"/>
    <w:rsid w:val="00416678"/>
    <w:rsid w:val="00420E30"/>
    <w:rsid w:val="00426851"/>
    <w:rsid w:val="004329EC"/>
    <w:rsid w:val="00435508"/>
    <w:rsid w:val="00445F5F"/>
    <w:rsid w:val="0045344E"/>
    <w:rsid w:val="00457939"/>
    <w:rsid w:val="00461580"/>
    <w:rsid w:val="004731FF"/>
    <w:rsid w:val="00484038"/>
    <w:rsid w:val="00487331"/>
    <w:rsid w:val="004948B1"/>
    <w:rsid w:val="004A3676"/>
    <w:rsid w:val="004A6542"/>
    <w:rsid w:val="004B19A3"/>
    <w:rsid w:val="004C0527"/>
    <w:rsid w:val="004C4E6F"/>
    <w:rsid w:val="004C50E3"/>
    <w:rsid w:val="004C5F45"/>
    <w:rsid w:val="004C6FDE"/>
    <w:rsid w:val="004C7A7C"/>
    <w:rsid w:val="004D48C1"/>
    <w:rsid w:val="004E1916"/>
    <w:rsid w:val="004E74FA"/>
    <w:rsid w:val="004F18AE"/>
    <w:rsid w:val="004F45BD"/>
    <w:rsid w:val="0050105D"/>
    <w:rsid w:val="00502874"/>
    <w:rsid w:val="005135A5"/>
    <w:rsid w:val="00532F9E"/>
    <w:rsid w:val="0053510B"/>
    <w:rsid w:val="00545919"/>
    <w:rsid w:val="0054675F"/>
    <w:rsid w:val="00547C44"/>
    <w:rsid w:val="005545F5"/>
    <w:rsid w:val="00561755"/>
    <w:rsid w:val="0056529C"/>
    <w:rsid w:val="00565459"/>
    <w:rsid w:val="00571D06"/>
    <w:rsid w:val="00572717"/>
    <w:rsid w:val="00575621"/>
    <w:rsid w:val="00576423"/>
    <w:rsid w:val="00577733"/>
    <w:rsid w:val="00585B3C"/>
    <w:rsid w:val="00593742"/>
    <w:rsid w:val="005A114A"/>
    <w:rsid w:val="005A2FAB"/>
    <w:rsid w:val="005B2591"/>
    <w:rsid w:val="005B517E"/>
    <w:rsid w:val="005C6336"/>
    <w:rsid w:val="005C667A"/>
    <w:rsid w:val="005F2715"/>
    <w:rsid w:val="005F3109"/>
    <w:rsid w:val="005F3BDC"/>
    <w:rsid w:val="005F7945"/>
    <w:rsid w:val="006001C8"/>
    <w:rsid w:val="0060038E"/>
    <w:rsid w:val="006008C1"/>
    <w:rsid w:val="00606DB8"/>
    <w:rsid w:val="00620CBC"/>
    <w:rsid w:val="00622A2D"/>
    <w:rsid w:val="006375C8"/>
    <w:rsid w:val="006429AA"/>
    <w:rsid w:val="006466EF"/>
    <w:rsid w:val="00652AEB"/>
    <w:rsid w:val="0065301A"/>
    <w:rsid w:val="00655772"/>
    <w:rsid w:val="00656316"/>
    <w:rsid w:val="00662D15"/>
    <w:rsid w:val="006738A0"/>
    <w:rsid w:val="00686EF6"/>
    <w:rsid w:val="006A0884"/>
    <w:rsid w:val="006B03C4"/>
    <w:rsid w:val="006B187E"/>
    <w:rsid w:val="006B2527"/>
    <w:rsid w:val="006E0620"/>
    <w:rsid w:val="006E50C7"/>
    <w:rsid w:val="006F0024"/>
    <w:rsid w:val="006F270B"/>
    <w:rsid w:val="00700044"/>
    <w:rsid w:val="007023BB"/>
    <w:rsid w:val="0070560A"/>
    <w:rsid w:val="00711710"/>
    <w:rsid w:val="0072003A"/>
    <w:rsid w:val="00720E84"/>
    <w:rsid w:val="0072313C"/>
    <w:rsid w:val="007251F6"/>
    <w:rsid w:val="0072714A"/>
    <w:rsid w:val="00746813"/>
    <w:rsid w:val="00746974"/>
    <w:rsid w:val="00746C83"/>
    <w:rsid w:val="00747D46"/>
    <w:rsid w:val="00750387"/>
    <w:rsid w:val="00751783"/>
    <w:rsid w:val="00760A2A"/>
    <w:rsid w:val="00761464"/>
    <w:rsid w:val="0077242B"/>
    <w:rsid w:val="00790D00"/>
    <w:rsid w:val="007927CA"/>
    <w:rsid w:val="00792D04"/>
    <w:rsid w:val="007940FA"/>
    <w:rsid w:val="007A78FF"/>
    <w:rsid w:val="007C4897"/>
    <w:rsid w:val="007D201C"/>
    <w:rsid w:val="007D4729"/>
    <w:rsid w:val="007E10ED"/>
    <w:rsid w:val="007F5719"/>
    <w:rsid w:val="00800D3F"/>
    <w:rsid w:val="008062CF"/>
    <w:rsid w:val="00826E5D"/>
    <w:rsid w:val="00837CB2"/>
    <w:rsid w:val="00845CFB"/>
    <w:rsid w:val="00846369"/>
    <w:rsid w:val="0085044F"/>
    <w:rsid w:val="008613B8"/>
    <w:rsid w:val="0086779C"/>
    <w:rsid w:val="00876ED9"/>
    <w:rsid w:val="00877649"/>
    <w:rsid w:val="008A4B3D"/>
    <w:rsid w:val="008B50B6"/>
    <w:rsid w:val="008C4124"/>
    <w:rsid w:val="008E240F"/>
    <w:rsid w:val="00907924"/>
    <w:rsid w:val="00914838"/>
    <w:rsid w:val="00923F15"/>
    <w:rsid w:val="0093242E"/>
    <w:rsid w:val="00936F39"/>
    <w:rsid w:val="00940A0C"/>
    <w:rsid w:val="009437B2"/>
    <w:rsid w:val="009459EB"/>
    <w:rsid w:val="0095249E"/>
    <w:rsid w:val="00964445"/>
    <w:rsid w:val="0096783D"/>
    <w:rsid w:val="00974BB1"/>
    <w:rsid w:val="00980424"/>
    <w:rsid w:val="009832EB"/>
    <w:rsid w:val="00983F39"/>
    <w:rsid w:val="009871C6"/>
    <w:rsid w:val="009906FE"/>
    <w:rsid w:val="00990C27"/>
    <w:rsid w:val="00995BC8"/>
    <w:rsid w:val="00995C92"/>
    <w:rsid w:val="009B5C3B"/>
    <w:rsid w:val="009C0FCA"/>
    <w:rsid w:val="009C6A00"/>
    <w:rsid w:val="009E022A"/>
    <w:rsid w:val="009E1720"/>
    <w:rsid w:val="009E6D3C"/>
    <w:rsid w:val="009F01C4"/>
    <w:rsid w:val="009F20F5"/>
    <w:rsid w:val="00A07695"/>
    <w:rsid w:val="00A12D2C"/>
    <w:rsid w:val="00A26691"/>
    <w:rsid w:val="00A4611E"/>
    <w:rsid w:val="00A528FE"/>
    <w:rsid w:val="00A64E84"/>
    <w:rsid w:val="00A701FB"/>
    <w:rsid w:val="00A70ED5"/>
    <w:rsid w:val="00A906B7"/>
    <w:rsid w:val="00A970F6"/>
    <w:rsid w:val="00AD4E8E"/>
    <w:rsid w:val="00AF16FE"/>
    <w:rsid w:val="00AF1750"/>
    <w:rsid w:val="00AF1CC9"/>
    <w:rsid w:val="00AF2D8E"/>
    <w:rsid w:val="00AF54C9"/>
    <w:rsid w:val="00B03617"/>
    <w:rsid w:val="00B12733"/>
    <w:rsid w:val="00B15DA3"/>
    <w:rsid w:val="00B20914"/>
    <w:rsid w:val="00B22E10"/>
    <w:rsid w:val="00B54AC3"/>
    <w:rsid w:val="00B55458"/>
    <w:rsid w:val="00B64F17"/>
    <w:rsid w:val="00B65A11"/>
    <w:rsid w:val="00B678E4"/>
    <w:rsid w:val="00B704C3"/>
    <w:rsid w:val="00B722A5"/>
    <w:rsid w:val="00B832C3"/>
    <w:rsid w:val="00B95252"/>
    <w:rsid w:val="00BA1DB1"/>
    <w:rsid w:val="00BA3FAE"/>
    <w:rsid w:val="00BB5A3B"/>
    <w:rsid w:val="00BC33DA"/>
    <w:rsid w:val="00BD3B14"/>
    <w:rsid w:val="00BD7827"/>
    <w:rsid w:val="00BE1A0E"/>
    <w:rsid w:val="00BE287E"/>
    <w:rsid w:val="00BE3E78"/>
    <w:rsid w:val="00BE7938"/>
    <w:rsid w:val="00BF6F42"/>
    <w:rsid w:val="00BF7350"/>
    <w:rsid w:val="00C01D46"/>
    <w:rsid w:val="00C12ACF"/>
    <w:rsid w:val="00C253C0"/>
    <w:rsid w:val="00C260FA"/>
    <w:rsid w:val="00C36E5B"/>
    <w:rsid w:val="00C40EA9"/>
    <w:rsid w:val="00C4314E"/>
    <w:rsid w:val="00C55849"/>
    <w:rsid w:val="00C56D55"/>
    <w:rsid w:val="00C630FB"/>
    <w:rsid w:val="00C63190"/>
    <w:rsid w:val="00C718FB"/>
    <w:rsid w:val="00C82B13"/>
    <w:rsid w:val="00C91CCE"/>
    <w:rsid w:val="00C9337E"/>
    <w:rsid w:val="00CB3BD1"/>
    <w:rsid w:val="00CF0253"/>
    <w:rsid w:val="00CF4066"/>
    <w:rsid w:val="00D06717"/>
    <w:rsid w:val="00D224AF"/>
    <w:rsid w:val="00D31E6F"/>
    <w:rsid w:val="00D338A7"/>
    <w:rsid w:val="00D43775"/>
    <w:rsid w:val="00D443C9"/>
    <w:rsid w:val="00D45965"/>
    <w:rsid w:val="00D4613F"/>
    <w:rsid w:val="00D52209"/>
    <w:rsid w:val="00D5511E"/>
    <w:rsid w:val="00D602BD"/>
    <w:rsid w:val="00D6501E"/>
    <w:rsid w:val="00D70ABC"/>
    <w:rsid w:val="00D80EDF"/>
    <w:rsid w:val="00D83741"/>
    <w:rsid w:val="00D9581E"/>
    <w:rsid w:val="00DA3AF7"/>
    <w:rsid w:val="00DA4F80"/>
    <w:rsid w:val="00DA7891"/>
    <w:rsid w:val="00DB3B57"/>
    <w:rsid w:val="00DB4600"/>
    <w:rsid w:val="00DC1F2B"/>
    <w:rsid w:val="00DC4B5C"/>
    <w:rsid w:val="00DC51FF"/>
    <w:rsid w:val="00DC731B"/>
    <w:rsid w:val="00DD3263"/>
    <w:rsid w:val="00DD744A"/>
    <w:rsid w:val="00DE02F8"/>
    <w:rsid w:val="00DF6031"/>
    <w:rsid w:val="00E0206D"/>
    <w:rsid w:val="00E06B57"/>
    <w:rsid w:val="00E21252"/>
    <w:rsid w:val="00E21254"/>
    <w:rsid w:val="00E23E5A"/>
    <w:rsid w:val="00E30E47"/>
    <w:rsid w:val="00E34788"/>
    <w:rsid w:val="00E365EC"/>
    <w:rsid w:val="00E37F7D"/>
    <w:rsid w:val="00E44447"/>
    <w:rsid w:val="00E526AB"/>
    <w:rsid w:val="00E65686"/>
    <w:rsid w:val="00E7179B"/>
    <w:rsid w:val="00E74B27"/>
    <w:rsid w:val="00E76911"/>
    <w:rsid w:val="00E91426"/>
    <w:rsid w:val="00E93297"/>
    <w:rsid w:val="00EA0BAA"/>
    <w:rsid w:val="00EA120B"/>
    <w:rsid w:val="00EA18A6"/>
    <w:rsid w:val="00EB2F91"/>
    <w:rsid w:val="00EB4B36"/>
    <w:rsid w:val="00EC2F57"/>
    <w:rsid w:val="00EC49C6"/>
    <w:rsid w:val="00ED06E7"/>
    <w:rsid w:val="00ED2115"/>
    <w:rsid w:val="00ED6686"/>
    <w:rsid w:val="00ED7BBD"/>
    <w:rsid w:val="00EE0456"/>
    <w:rsid w:val="00EE0F32"/>
    <w:rsid w:val="00EE69A4"/>
    <w:rsid w:val="00F1293C"/>
    <w:rsid w:val="00F226F1"/>
    <w:rsid w:val="00F23A09"/>
    <w:rsid w:val="00F24BFD"/>
    <w:rsid w:val="00F306AF"/>
    <w:rsid w:val="00F31B0D"/>
    <w:rsid w:val="00F41DD3"/>
    <w:rsid w:val="00F4355F"/>
    <w:rsid w:val="00F502A4"/>
    <w:rsid w:val="00F62DB3"/>
    <w:rsid w:val="00F9272E"/>
    <w:rsid w:val="00F96C7A"/>
    <w:rsid w:val="00FA039E"/>
    <w:rsid w:val="00FA1345"/>
    <w:rsid w:val="00FA53E9"/>
    <w:rsid w:val="00FB1E6A"/>
    <w:rsid w:val="00FB26AA"/>
    <w:rsid w:val="00FB77BD"/>
    <w:rsid w:val="00FC5F5E"/>
    <w:rsid w:val="00FD3183"/>
    <w:rsid w:val="00FD7EE6"/>
    <w:rsid w:val="00FE18F2"/>
    <w:rsid w:val="00FE34D2"/>
    <w:rsid w:val="00FE367D"/>
    <w:rsid w:val="00FF0BA3"/>
    <w:rsid w:val="00FF3B7D"/>
    <w:rsid w:val="00FF4E6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595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semiHidden/>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basedOn w:val="Normal"/>
    <w:link w:val="TextonotapieCar"/>
    <w:uiPriority w:val="99"/>
    <w:semiHidden/>
    <w:unhideWhenUsed/>
    <w:rsid w:val="00244E9C"/>
    <w:pPr>
      <w:spacing w:line="240" w:lineRule="auto"/>
      <w:jc w:val="left"/>
    </w:pPr>
    <w:rPr>
      <w:rFonts w:ascii="Arial" w:hAnsi="Arial" w:cs="Arial"/>
      <w:sz w:val="20"/>
      <w:szCs w:val="20"/>
      <w:lang w:val="es-MX"/>
    </w:rPr>
  </w:style>
  <w:style w:type="character" w:customStyle="1" w:styleId="TextonotapieCar">
    <w:name w:val="Texto nota pie Car"/>
    <w:basedOn w:val="Fuentedeprrafopredeter"/>
    <w:link w:val="Textonotapie"/>
    <w:uiPriority w:val="99"/>
    <w:semiHidden/>
    <w:rsid w:val="00244E9C"/>
    <w:rPr>
      <w:rFonts w:ascii="Arial" w:hAnsi="Arial" w:cs="Arial"/>
      <w:sz w:val="20"/>
      <w:szCs w:val="20"/>
      <w:lang w:eastAsia="es-ES"/>
    </w:rPr>
  </w:style>
  <w:style w:type="character" w:styleId="Refdenotaalpie">
    <w:name w:val="footnote reference"/>
    <w:basedOn w:val="Fuentedeprrafopredeter"/>
    <w:uiPriority w:val="99"/>
    <w:semiHidden/>
    <w:unhideWhenUsed/>
    <w:rsid w:val="00244E9C"/>
    <w:rPr>
      <w:vertAlign w:val="superscript"/>
    </w:rPr>
  </w:style>
  <w:style w:type="character" w:customStyle="1" w:styleId="corte4fondoCar1">
    <w:name w:val="corte4 fondo Car1"/>
    <w:link w:val="corte4fondo"/>
    <w:locked/>
    <w:rsid w:val="00F24BFD"/>
    <w:rPr>
      <w:rFonts w:ascii="Arial" w:hAnsi="Arial" w:cs="Times New Roman"/>
      <w:sz w:val="30"/>
      <w:szCs w:val="20"/>
      <w:lang w:eastAsia="es-ES"/>
    </w:rPr>
  </w:style>
  <w:style w:type="paragraph" w:customStyle="1" w:styleId="corte4fondo">
    <w:name w:val="corte4 fondo"/>
    <w:basedOn w:val="Normal"/>
    <w:link w:val="corte4fondoCar1"/>
    <w:qFormat/>
    <w:rsid w:val="00F24BFD"/>
    <w:pPr>
      <w:ind w:firstLine="709"/>
    </w:pPr>
    <w:rPr>
      <w:rFonts w:ascii="Arial" w:hAnsi="Arial"/>
      <w:sz w:val="30"/>
      <w:szCs w:val="20"/>
      <w:lang w:val="es-MX"/>
    </w:rPr>
  </w:style>
  <w:style w:type="paragraph" w:customStyle="1" w:styleId="Estilo">
    <w:name w:val="Estilo"/>
    <w:basedOn w:val="Sinespaciado"/>
    <w:link w:val="EstiloCar"/>
    <w:qFormat/>
    <w:rsid w:val="00826E5D"/>
    <w:rPr>
      <w:rFonts w:ascii="Arial" w:eastAsiaTheme="minorHAnsi" w:hAnsi="Arial" w:cstheme="minorBidi"/>
      <w:sz w:val="24"/>
      <w:szCs w:val="22"/>
      <w:lang w:val="es-MX" w:eastAsia="en-US"/>
    </w:rPr>
  </w:style>
  <w:style w:type="character" w:customStyle="1" w:styleId="EstiloCar">
    <w:name w:val="Estilo Car"/>
    <w:basedOn w:val="Fuentedeprrafopredeter"/>
    <w:link w:val="Estilo"/>
    <w:rsid w:val="00826E5D"/>
    <w:rPr>
      <w:rFonts w:ascii="Arial" w:eastAsiaTheme="minorHAnsi" w:hAnsi="Arial"/>
      <w:sz w:val="24"/>
    </w:rPr>
  </w:style>
  <w:style w:type="paragraph" w:styleId="Sinespaciado">
    <w:name w:val="No Spacing"/>
    <w:uiPriority w:val="1"/>
    <w:qFormat/>
    <w:rsid w:val="00826E5D"/>
    <w:pPr>
      <w:spacing w:after="0" w:line="240" w:lineRule="auto"/>
      <w:jc w:val="both"/>
    </w:pPr>
    <w:rPr>
      <w:rFonts w:cs="Times New Roman"/>
      <w:sz w:val="26"/>
      <w:szCs w:val="24"/>
      <w:lang w:val="es-ES" w:eastAsia="es-ES"/>
    </w:rPr>
  </w:style>
  <w:style w:type="paragraph" w:styleId="Sangradetextonormal">
    <w:name w:val="Body Text Indent"/>
    <w:basedOn w:val="Normal"/>
    <w:link w:val="SangradetextonormalCar"/>
    <w:rsid w:val="00620CBC"/>
    <w:pPr>
      <w:spacing w:after="120" w:line="240" w:lineRule="auto"/>
      <w:ind w:left="283"/>
      <w:jc w:val="left"/>
    </w:pPr>
    <w:rPr>
      <w:rFonts w:ascii="Times New Roman" w:hAnsi="Times New Roman"/>
      <w:sz w:val="24"/>
    </w:rPr>
  </w:style>
  <w:style w:type="character" w:customStyle="1" w:styleId="SangradetextonormalCar">
    <w:name w:val="Sangría de texto normal Car"/>
    <w:basedOn w:val="Fuentedeprrafopredeter"/>
    <w:link w:val="Sangradetextonormal"/>
    <w:rsid w:val="00620CBC"/>
    <w:rPr>
      <w:rFonts w:ascii="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33363932">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Modal(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AbrirModal(1)" TargetMode="External"/><Relationship Id="rId4" Type="http://schemas.openxmlformats.org/officeDocument/2006/relationships/settings" Target="settings.xml"/><Relationship Id="rId9" Type="http://schemas.openxmlformats.org/officeDocument/2006/relationships/hyperlink" Target="http://200.38.163.178/sjfsist/(F(5dNDcC0oMytMU-sSj29gyrcjWbWMcqc1Z_gSWfoYqUWrTHZoaSYLl8_tC5MvotqOSc9ziDl6ur5ia3UFsMdIi3h8dq9j221F4_TC-cDnwLdYgJGcU6suX8lweL7BTFci6rg89tZmXfh_jUNa9haiOuio5ms98-ASi-RAU2E3TA81))/Paginas/DetalleGeneralV2.aspx?id=169574&amp;Clase=DetalleTesisBL"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02F1AB-BD4B-4924-8FC4-3F7D1C7A9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20</Pages>
  <Words>7117</Words>
  <Characters>39144</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FATIMA</cp:lastModifiedBy>
  <cp:revision>30</cp:revision>
  <cp:lastPrinted>2017-11-21T23:26:00Z</cp:lastPrinted>
  <dcterms:created xsi:type="dcterms:W3CDTF">2017-08-04T15:21:00Z</dcterms:created>
  <dcterms:modified xsi:type="dcterms:W3CDTF">2017-11-21T23:26:00Z</dcterms:modified>
</cp:coreProperties>
</file>